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41B30" w14:textId="018C6BDB" w:rsidR="001F5519" w:rsidRPr="00600379" w:rsidRDefault="001F5519" w:rsidP="001F5519">
      <w:pPr>
        <w:keepNext/>
        <w:numPr>
          <w:ilvl w:val="0"/>
          <w:numId w:val="2"/>
        </w:numPr>
        <w:pBdr>
          <w:top w:val="single" w:sz="8" w:space="1" w:color="1F497D"/>
          <w:left w:val="single" w:sz="8" w:space="3" w:color="1F497D"/>
          <w:bottom w:val="single" w:sz="8" w:space="1" w:color="1F497D"/>
          <w:right w:val="single" w:sz="8" w:space="4" w:color="1F497D"/>
        </w:pBdr>
        <w:shd w:val="clear" w:color="auto" w:fill="D9D9D9" w:themeFill="background1" w:themeFillShade="D9"/>
        <w:tabs>
          <w:tab w:val="clear" w:pos="432"/>
          <w:tab w:val="num" w:pos="0"/>
          <w:tab w:val="center" w:pos="4819"/>
          <w:tab w:val="left" w:pos="7880"/>
          <w:tab w:val="right" w:pos="9638"/>
        </w:tabs>
        <w:suppressAutoHyphens/>
        <w:autoSpaceDE w:val="0"/>
        <w:autoSpaceDN w:val="0"/>
        <w:adjustRightInd w:val="0"/>
        <w:spacing w:after="0" w:line="269" w:lineRule="auto"/>
        <w:ind w:left="0" w:firstLine="0"/>
        <w:contextualSpacing/>
        <w:jc w:val="center"/>
        <w:outlineLvl w:val="1"/>
        <w:rPr>
          <w:rFonts w:ascii="Times New Roman" w:eastAsiaTheme="minorHAnsi" w:hAnsi="Times New Roman" w:cs="Times New Roman"/>
          <w:sz w:val="44"/>
          <w:szCs w:val="44"/>
          <w:lang w:eastAsia="en-US"/>
        </w:rPr>
      </w:pPr>
      <w:bookmarkStart w:id="0" w:name="_Toc43891310"/>
      <w:bookmarkStart w:id="1" w:name="_Toc43891541"/>
      <w:bookmarkStart w:id="2" w:name="_Toc59036400"/>
      <w:bookmarkStart w:id="3" w:name="_Toc59039438"/>
      <w:bookmarkStart w:id="4" w:name="_Toc60097629"/>
      <w:bookmarkStart w:id="5" w:name="_Toc71739230"/>
      <w:bookmarkStart w:id="6" w:name="_Toc71740616"/>
      <w:r w:rsidRPr="00600379">
        <w:rPr>
          <w:rFonts w:ascii="Times New Roman" w:eastAsiaTheme="majorEastAsia" w:hAnsi="Times New Roman" w:cs="Times New Roman"/>
          <w:b/>
          <w:bCs/>
          <w:smallCaps/>
          <w:sz w:val="44"/>
          <w:szCs w:val="44"/>
          <w:lang w:eastAsia="en-US"/>
        </w:rPr>
        <w:t xml:space="preserve">COMUNE DI </w:t>
      </w:r>
      <w:bookmarkEnd w:id="0"/>
      <w:bookmarkEnd w:id="1"/>
      <w:r w:rsidR="00005502">
        <w:rPr>
          <w:rFonts w:ascii="Times New Roman" w:eastAsiaTheme="majorEastAsia" w:hAnsi="Times New Roman" w:cs="Times New Roman"/>
          <w:b/>
          <w:bCs/>
          <w:smallCaps/>
          <w:sz w:val="44"/>
          <w:szCs w:val="44"/>
          <w:lang w:eastAsia="en-US"/>
        </w:rPr>
        <w:t>ORISTANO</w:t>
      </w:r>
      <w:bookmarkStart w:id="7" w:name="_GoBack"/>
      <w:bookmarkEnd w:id="2"/>
      <w:bookmarkEnd w:id="3"/>
      <w:bookmarkEnd w:id="4"/>
      <w:bookmarkEnd w:id="5"/>
      <w:bookmarkEnd w:id="6"/>
      <w:bookmarkEnd w:id="7"/>
    </w:p>
    <w:p w14:paraId="3EA81395" w14:textId="4FEC828B" w:rsidR="001F5519" w:rsidRPr="00600379" w:rsidRDefault="001F5519" w:rsidP="001F5519">
      <w:pPr>
        <w:keepNext/>
        <w:numPr>
          <w:ilvl w:val="0"/>
          <w:numId w:val="2"/>
        </w:numPr>
        <w:pBdr>
          <w:top w:val="single" w:sz="8" w:space="1" w:color="1F497D"/>
          <w:left w:val="single" w:sz="8" w:space="3" w:color="1F497D"/>
          <w:bottom w:val="single" w:sz="8" w:space="1" w:color="1F497D"/>
          <w:right w:val="single" w:sz="8" w:space="4" w:color="1F497D"/>
        </w:pBdr>
        <w:shd w:val="clear" w:color="auto" w:fill="D9D9D9" w:themeFill="background1" w:themeFillShade="D9"/>
        <w:tabs>
          <w:tab w:val="clear" w:pos="432"/>
          <w:tab w:val="num" w:pos="0"/>
          <w:tab w:val="center" w:pos="4819"/>
          <w:tab w:val="left" w:pos="7880"/>
          <w:tab w:val="right" w:pos="9638"/>
        </w:tabs>
        <w:suppressAutoHyphens/>
        <w:autoSpaceDE w:val="0"/>
        <w:autoSpaceDN w:val="0"/>
        <w:adjustRightInd w:val="0"/>
        <w:spacing w:after="0" w:line="269" w:lineRule="auto"/>
        <w:ind w:left="0" w:firstLine="0"/>
        <w:contextualSpacing/>
        <w:jc w:val="center"/>
        <w:outlineLvl w:val="1"/>
        <w:rPr>
          <w:rFonts w:ascii="Times New Roman" w:eastAsiaTheme="minorHAnsi" w:hAnsi="Times New Roman" w:cs="Times New Roman"/>
          <w:sz w:val="44"/>
          <w:szCs w:val="44"/>
          <w:lang w:eastAsia="en-US"/>
        </w:rPr>
      </w:pPr>
      <w:bookmarkStart w:id="8" w:name="_Toc43891311"/>
      <w:bookmarkStart w:id="9" w:name="_Toc43891542"/>
      <w:bookmarkStart w:id="10" w:name="_Toc59036401"/>
      <w:bookmarkStart w:id="11" w:name="_Toc59039439"/>
      <w:bookmarkStart w:id="12" w:name="_Toc60097630"/>
      <w:bookmarkStart w:id="13" w:name="_Toc71739231"/>
      <w:bookmarkStart w:id="14" w:name="_Toc71740617"/>
      <w:r w:rsidRPr="00600379">
        <w:rPr>
          <w:rFonts w:ascii="Times New Roman" w:eastAsiaTheme="majorEastAsia" w:hAnsi="Times New Roman" w:cs="Times New Roman"/>
          <w:b/>
          <w:bCs/>
          <w:smallCaps/>
          <w:sz w:val="44"/>
          <w:szCs w:val="44"/>
          <w:lang w:eastAsia="en-US"/>
        </w:rPr>
        <w:t>PIANO FINANZIARIO 202</w:t>
      </w:r>
      <w:bookmarkEnd w:id="8"/>
      <w:bookmarkEnd w:id="9"/>
      <w:bookmarkEnd w:id="10"/>
      <w:bookmarkEnd w:id="11"/>
      <w:bookmarkEnd w:id="12"/>
      <w:r w:rsidR="00827B62">
        <w:rPr>
          <w:rFonts w:ascii="Times New Roman" w:eastAsiaTheme="majorEastAsia" w:hAnsi="Times New Roman" w:cs="Times New Roman"/>
          <w:b/>
          <w:bCs/>
          <w:smallCaps/>
          <w:sz w:val="44"/>
          <w:szCs w:val="44"/>
          <w:lang w:eastAsia="en-US"/>
        </w:rPr>
        <w:t>1</w:t>
      </w:r>
      <w:bookmarkEnd w:id="13"/>
      <w:bookmarkEnd w:id="14"/>
    </w:p>
    <w:p w14:paraId="4DD9FC12" w14:textId="77777777" w:rsidR="001F5519" w:rsidRPr="00600379" w:rsidRDefault="001F5519" w:rsidP="004B727F">
      <w:pPr>
        <w:autoSpaceDE w:val="0"/>
        <w:autoSpaceDN w:val="0"/>
        <w:adjustRightInd w:val="0"/>
        <w:spacing w:after="0" w:line="240" w:lineRule="auto"/>
        <w:rPr>
          <w:rFonts w:ascii="Times New Roman" w:hAnsi="Times New Roman" w:cs="Times New Roman"/>
          <w:sz w:val="24"/>
          <w:szCs w:val="24"/>
        </w:rPr>
      </w:pPr>
    </w:p>
    <w:p w14:paraId="2CFBDADA" w14:textId="77777777" w:rsidR="001F5519" w:rsidRPr="00600379" w:rsidRDefault="001F5519" w:rsidP="004B727F">
      <w:pPr>
        <w:autoSpaceDE w:val="0"/>
        <w:autoSpaceDN w:val="0"/>
        <w:adjustRightInd w:val="0"/>
        <w:spacing w:after="0" w:line="240" w:lineRule="auto"/>
        <w:rPr>
          <w:rFonts w:ascii="Times New Roman" w:hAnsi="Times New Roman" w:cs="Times New Roman"/>
          <w:sz w:val="24"/>
          <w:szCs w:val="24"/>
        </w:rPr>
      </w:pPr>
    </w:p>
    <w:p w14:paraId="5507ABB8" w14:textId="77777777" w:rsidR="001F5519" w:rsidRPr="00600379" w:rsidRDefault="001F5519" w:rsidP="004B727F">
      <w:pPr>
        <w:autoSpaceDE w:val="0"/>
        <w:autoSpaceDN w:val="0"/>
        <w:adjustRightInd w:val="0"/>
        <w:spacing w:after="0" w:line="240" w:lineRule="auto"/>
        <w:rPr>
          <w:rFonts w:ascii="Times New Roman" w:hAnsi="Times New Roman" w:cs="Times New Roman"/>
          <w:sz w:val="24"/>
          <w:szCs w:val="24"/>
        </w:rPr>
      </w:pPr>
    </w:p>
    <w:sdt>
      <w:sdtPr>
        <w:rPr>
          <w:rFonts w:ascii="Times New Roman" w:eastAsiaTheme="minorEastAsia" w:hAnsi="Times New Roman" w:cs="Times New Roman"/>
          <w:b/>
          <w:color w:val="auto"/>
          <w:sz w:val="22"/>
          <w:szCs w:val="22"/>
        </w:rPr>
        <w:id w:val="-1007056486"/>
        <w:docPartObj>
          <w:docPartGallery w:val="Table of Contents"/>
          <w:docPartUnique/>
        </w:docPartObj>
      </w:sdtPr>
      <w:sdtEndPr>
        <w:rPr>
          <w:bCs/>
        </w:rPr>
      </w:sdtEndPr>
      <w:sdtContent>
        <w:p w14:paraId="1CA82E8C" w14:textId="0F94FEBB" w:rsidR="00284B24" w:rsidRPr="00600379" w:rsidRDefault="00284B24">
          <w:pPr>
            <w:pStyle w:val="Titolosommario"/>
            <w:rPr>
              <w:rFonts w:ascii="Times New Roman" w:hAnsi="Times New Roman" w:cs="Times New Roman"/>
              <w:b/>
              <w:color w:val="auto"/>
              <w:sz w:val="22"/>
              <w:szCs w:val="22"/>
            </w:rPr>
          </w:pPr>
          <w:r w:rsidRPr="00600379">
            <w:rPr>
              <w:rFonts w:ascii="Times New Roman" w:hAnsi="Times New Roman" w:cs="Times New Roman"/>
              <w:b/>
              <w:color w:val="auto"/>
              <w:sz w:val="22"/>
              <w:szCs w:val="22"/>
            </w:rPr>
            <w:t>Sommario</w:t>
          </w:r>
        </w:p>
        <w:p w14:paraId="149588B4" w14:textId="4F0A0B3D" w:rsidR="0043623A" w:rsidRDefault="00284B24" w:rsidP="0043623A">
          <w:pPr>
            <w:pStyle w:val="Sommario2"/>
            <w:rPr>
              <w:rFonts w:asciiTheme="minorHAnsi" w:eastAsiaTheme="minorEastAsia" w:hAnsiTheme="minorHAnsi" w:cstheme="minorBidi"/>
              <w:sz w:val="22"/>
              <w:szCs w:val="22"/>
              <w:lang w:eastAsia="it-IT"/>
            </w:rPr>
          </w:pPr>
          <w:r w:rsidRPr="00600379">
            <w:rPr>
              <w:rFonts w:ascii="Times New Roman" w:hAnsi="Times New Roman" w:cs="Times New Roman"/>
              <w:sz w:val="22"/>
              <w:szCs w:val="22"/>
            </w:rPr>
            <w:fldChar w:fldCharType="begin"/>
          </w:r>
          <w:r w:rsidRPr="00600379">
            <w:rPr>
              <w:rFonts w:ascii="Times New Roman" w:hAnsi="Times New Roman" w:cs="Times New Roman"/>
              <w:sz w:val="22"/>
              <w:szCs w:val="22"/>
            </w:rPr>
            <w:instrText xml:space="preserve"> TOC \o "1-3" \h \z \u </w:instrText>
          </w:r>
          <w:r w:rsidRPr="00600379">
            <w:rPr>
              <w:rFonts w:ascii="Times New Roman" w:hAnsi="Times New Roman" w:cs="Times New Roman"/>
              <w:sz w:val="22"/>
              <w:szCs w:val="22"/>
            </w:rPr>
            <w:fldChar w:fldCharType="separate"/>
          </w:r>
        </w:p>
        <w:p w14:paraId="47AA0E46" w14:textId="77777777" w:rsidR="0043623A" w:rsidRDefault="0043623A">
          <w:pPr>
            <w:pStyle w:val="Sommario1"/>
            <w:rPr>
              <w:noProof/>
            </w:rPr>
          </w:pPr>
          <w:hyperlink w:anchor="_Toc71740618" w:history="1">
            <w:r w:rsidRPr="00794733">
              <w:rPr>
                <w:rStyle w:val="Collegamentoipertestuale"/>
                <w:rFonts w:ascii="Times New Roman" w:hAnsi="Times New Roman" w:cs="Times New Roman"/>
                <w:noProof/>
              </w:rPr>
              <w:t>1</w:t>
            </w:r>
            <w:r>
              <w:rPr>
                <w:noProof/>
              </w:rPr>
              <w:tab/>
            </w:r>
            <w:r w:rsidRPr="00794733">
              <w:rPr>
                <w:rStyle w:val="Collegamentoipertestuale"/>
                <w:rFonts w:ascii="Times New Roman" w:hAnsi="Times New Roman" w:cs="Times New Roman"/>
                <w:noProof/>
              </w:rPr>
              <w:t>Introduzione</w:t>
            </w:r>
            <w:r>
              <w:rPr>
                <w:noProof/>
                <w:webHidden/>
              </w:rPr>
              <w:tab/>
            </w:r>
            <w:r>
              <w:rPr>
                <w:noProof/>
                <w:webHidden/>
              </w:rPr>
              <w:fldChar w:fldCharType="begin"/>
            </w:r>
            <w:r>
              <w:rPr>
                <w:noProof/>
                <w:webHidden/>
              </w:rPr>
              <w:instrText xml:space="preserve"> PAGEREF _Toc71740618 \h </w:instrText>
            </w:r>
            <w:r>
              <w:rPr>
                <w:noProof/>
                <w:webHidden/>
              </w:rPr>
            </w:r>
            <w:r>
              <w:rPr>
                <w:noProof/>
                <w:webHidden/>
              </w:rPr>
              <w:fldChar w:fldCharType="separate"/>
            </w:r>
            <w:r>
              <w:rPr>
                <w:noProof/>
                <w:webHidden/>
              </w:rPr>
              <w:t>2</w:t>
            </w:r>
            <w:r>
              <w:rPr>
                <w:noProof/>
                <w:webHidden/>
              </w:rPr>
              <w:fldChar w:fldCharType="end"/>
            </w:r>
          </w:hyperlink>
        </w:p>
        <w:p w14:paraId="61F265B3" w14:textId="77777777" w:rsidR="0043623A" w:rsidRDefault="0043623A">
          <w:pPr>
            <w:pStyle w:val="Sommario1"/>
            <w:rPr>
              <w:noProof/>
            </w:rPr>
          </w:pPr>
          <w:hyperlink w:anchor="_Toc71740619" w:history="1">
            <w:r w:rsidRPr="00794733">
              <w:rPr>
                <w:rStyle w:val="Collegamentoipertestuale"/>
                <w:rFonts w:ascii="Times New Roman" w:hAnsi="Times New Roman" w:cs="Times New Roman"/>
                <w:noProof/>
              </w:rPr>
              <w:t>2</w:t>
            </w:r>
            <w:r>
              <w:rPr>
                <w:noProof/>
              </w:rPr>
              <w:tab/>
            </w:r>
            <w:r w:rsidRPr="00794733">
              <w:rPr>
                <w:rStyle w:val="Collegamentoipertestuale"/>
                <w:rFonts w:ascii="Times New Roman" w:hAnsi="Times New Roman" w:cs="Times New Roman"/>
                <w:noProof/>
              </w:rPr>
              <w:t>Perimetro gestione affidamento e servizi forniti</w:t>
            </w:r>
            <w:r>
              <w:rPr>
                <w:noProof/>
                <w:webHidden/>
              </w:rPr>
              <w:tab/>
            </w:r>
            <w:r>
              <w:rPr>
                <w:noProof/>
                <w:webHidden/>
              </w:rPr>
              <w:fldChar w:fldCharType="begin"/>
            </w:r>
            <w:r>
              <w:rPr>
                <w:noProof/>
                <w:webHidden/>
              </w:rPr>
              <w:instrText xml:space="preserve"> PAGEREF _Toc71740619 \h </w:instrText>
            </w:r>
            <w:r>
              <w:rPr>
                <w:noProof/>
                <w:webHidden/>
              </w:rPr>
            </w:r>
            <w:r>
              <w:rPr>
                <w:noProof/>
                <w:webHidden/>
              </w:rPr>
              <w:fldChar w:fldCharType="separate"/>
            </w:r>
            <w:r>
              <w:rPr>
                <w:noProof/>
                <w:webHidden/>
              </w:rPr>
              <w:t>4</w:t>
            </w:r>
            <w:r>
              <w:rPr>
                <w:noProof/>
                <w:webHidden/>
              </w:rPr>
              <w:fldChar w:fldCharType="end"/>
            </w:r>
          </w:hyperlink>
        </w:p>
        <w:p w14:paraId="2B346ECD" w14:textId="77777777" w:rsidR="0043623A" w:rsidRDefault="0043623A">
          <w:pPr>
            <w:pStyle w:val="Sommario1"/>
            <w:rPr>
              <w:noProof/>
            </w:rPr>
          </w:pPr>
          <w:hyperlink w:anchor="_Toc71740620" w:history="1">
            <w:r w:rsidRPr="00794733">
              <w:rPr>
                <w:rStyle w:val="Collegamentoipertestuale"/>
                <w:rFonts w:ascii="Times New Roman" w:hAnsi="Times New Roman" w:cs="Times New Roman"/>
                <w:noProof/>
              </w:rPr>
              <w:t>3</w:t>
            </w:r>
            <w:r>
              <w:rPr>
                <w:noProof/>
              </w:rPr>
              <w:tab/>
            </w:r>
            <w:r w:rsidRPr="00794733">
              <w:rPr>
                <w:rStyle w:val="Collegamentoipertestuale"/>
                <w:rFonts w:ascii="Times New Roman" w:hAnsi="Times New Roman" w:cs="Times New Roman"/>
                <w:noProof/>
              </w:rPr>
              <w:t>PIANO FINANZIARIO 2021</w:t>
            </w:r>
            <w:r>
              <w:rPr>
                <w:noProof/>
                <w:webHidden/>
              </w:rPr>
              <w:tab/>
            </w:r>
            <w:r>
              <w:rPr>
                <w:noProof/>
                <w:webHidden/>
              </w:rPr>
              <w:fldChar w:fldCharType="begin"/>
            </w:r>
            <w:r>
              <w:rPr>
                <w:noProof/>
                <w:webHidden/>
              </w:rPr>
              <w:instrText xml:space="preserve"> PAGEREF _Toc71740620 \h </w:instrText>
            </w:r>
            <w:r>
              <w:rPr>
                <w:noProof/>
                <w:webHidden/>
              </w:rPr>
            </w:r>
            <w:r>
              <w:rPr>
                <w:noProof/>
                <w:webHidden/>
              </w:rPr>
              <w:fldChar w:fldCharType="separate"/>
            </w:r>
            <w:r>
              <w:rPr>
                <w:noProof/>
                <w:webHidden/>
              </w:rPr>
              <w:t>6</w:t>
            </w:r>
            <w:r>
              <w:rPr>
                <w:noProof/>
                <w:webHidden/>
              </w:rPr>
              <w:fldChar w:fldCharType="end"/>
            </w:r>
          </w:hyperlink>
        </w:p>
        <w:p w14:paraId="158B8218" w14:textId="77777777" w:rsidR="0043623A" w:rsidRDefault="0043623A">
          <w:pPr>
            <w:pStyle w:val="Sommario1"/>
            <w:rPr>
              <w:noProof/>
            </w:rPr>
          </w:pPr>
          <w:hyperlink w:anchor="_Toc71740621" w:history="1">
            <w:r w:rsidRPr="00794733">
              <w:rPr>
                <w:rStyle w:val="Collegamentoipertestuale"/>
                <w:rFonts w:ascii="Times New Roman" w:hAnsi="Times New Roman" w:cs="Times New Roman"/>
                <w:noProof/>
              </w:rPr>
              <w:t>4</w:t>
            </w:r>
            <w:r>
              <w:rPr>
                <w:noProof/>
              </w:rPr>
              <w:tab/>
            </w:r>
            <w:r w:rsidRPr="00794733">
              <w:rPr>
                <w:rStyle w:val="Collegamentoipertestuale"/>
                <w:rFonts w:ascii="Times New Roman" w:hAnsi="Times New Roman" w:cs="Times New Roman"/>
                <w:noProof/>
              </w:rPr>
              <w:t>VALUTAZIONI DELL’ENTE TERRITORIALMENTE COMPETENTE</w:t>
            </w:r>
            <w:r>
              <w:rPr>
                <w:noProof/>
                <w:webHidden/>
              </w:rPr>
              <w:tab/>
            </w:r>
            <w:r>
              <w:rPr>
                <w:noProof/>
                <w:webHidden/>
              </w:rPr>
              <w:fldChar w:fldCharType="begin"/>
            </w:r>
            <w:r>
              <w:rPr>
                <w:noProof/>
                <w:webHidden/>
              </w:rPr>
              <w:instrText xml:space="preserve"> PAGEREF _Toc71740621 \h </w:instrText>
            </w:r>
            <w:r>
              <w:rPr>
                <w:noProof/>
                <w:webHidden/>
              </w:rPr>
            </w:r>
            <w:r>
              <w:rPr>
                <w:noProof/>
                <w:webHidden/>
              </w:rPr>
              <w:fldChar w:fldCharType="separate"/>
            </w:r>
            <w:r>
              <w:rPr>
                <w:noProof/>
                <w:webHidden/>
              </w:rPr>
              <w:t>8</w:t>
            </w:r>
            <w:r>
              <w:rPr>
                <w:noProof/>
                <w:webHidden/>
              </w:rPr>
              <w:fldChar w:fldCharType="end"/>
            </w:r>
          </w:hyperlink>
        </w:p>
        <w:p w14:paraId="240AA178" w14:textId="77777777" w:rsidR="0043623A" w:rsidRDefault="0043623A">
          <w:pPr>
            <w:pStyle w:val="Sommario2"/>
            <w:rPr>
              <w:rFonts w:asciiTheme="minorHAnsi" w:eastAsiaTheme="minorEastAsia" w:hAnsiTheme="minorHAnsi" w:cstheme="minorBidi"/>
              <w:sz w:val="22"/>
              <w:szCs w:val="22"/>
              <w:lang w:eastAsia="it-IT"/>
            </w:rPr>
          </w:pPr>
          <w:hyperlink w:anchor="_Toc71740622" w:history="1">
            <w:r w:rsidRPr="00794733">
              <w:rPr>
                <w:rStyle w:val="Collegamentoipertestuale"/>
                <w:rFonts w:ascii="Times New Roman" w:hAnsi="Times New Roman" w:cs="Times New Roman"/>
              </w:rPr>
              <w:t>4.1</w:t>
            </w:r>
            <w:r>
              <w:rPr>
                <w:rFonts w:asciiTheme="minorHAnsi" w:eastAsiaTheme="minorEastAsia" w:hAnsiTheme="minorHAnsi" w:cstheme="minorBidi"/>
                <w:sz w:val="22"/>
                <w:szCs w:val="22"/>
                <w:lang w:eastAsia="it-IT"/>
              </w:rPr>
              <w:tab/>
            </w:r>
            <w:r w:rsidRPr="00794733">
              <w:rPr>
                <w:rStyle w:val="Collegamentoipertestuale"/>
                <w:rFonts w:ascii="Times New Roman" w:hAnsi="Times New Roman" w:cs="Times New Roman"/>
              </w:rPr>
              <w:t>Attività di validazione svolta</w:t>
            </w:r>
            <w:r>
              <w:rPr>
                <w:webHidden/>
              </w:rPr>
              <w:tab/>
            </w:r>
            <w:r>
              <w:rPr>
                <w:webHidden/>
              </w:rPr>
              <w:fldChar w:fldCharType="begin"/>
            </w:r>
            <w:r>
              <w:rPr>
                <w:webHidden/>
              </w:rPr>
              <w:instrText xml:space="preserve"> PAGEREF _Toc71740622 \h </w:instrText>
            </w:r>
            <w:r>
              <w:rPr>
                <w:webHidden/>
              </w:rPr>
            </w:r>
            <w:r>
              <w:rPr>
                <w:webHidden/>
              </w:rPr>
              <w:fldChar w:fldCharType="separate"/>
            </w:r>
            <w:r>
              <w:rPr>
                <w:webHidden/>
              </w:rPr>
              <w:t>8</w:t>
            </w:r>
            <w:r>
              <w:rPr>
                <w:webHidden/>
              </w:rPr>
              <w:fldChar w:fldCharType="end"/>
            </w:r>
          </w:hyperlink>
        </w:p>
        <w:p w14:paraId="46E14EC3" w14:textId="77777777" w:rsidR="0043623A" w:rsidRDefault="0043623A">
          <w:pPr>
            <w:pStyle w:val="Sommario2"/>
            <w:rPr>
              <w:rFonts w:asciiTheme="minorHAnsi" w:eastAsiaTheme="minorEastAsia" w:hAnsiTheme="minorHAnsi" w:cstheme="minorBidi"/>
              <w:sz w:val="22"/>
              <w:szCs w:val="22"/>
              <w:lang w:eastAsia="it-IT"/>
            </w:rPr>
          </w:pPr>
          <w:hyperlink w:anchor="_Toc71740623" w:history="1">
            <w:r w:rsidRPr="00794733">
              <w:rPr>
                <w:rStyle w:val="Collegamentoipertestuale"/>
                <w:rFonts w:ascii="Times New Roman" w:hAnsi="Times New Roman" w:cs="Times New Roman"/>
              </w:rPr>
              <w:t>4.2</w:t>
            </w:r>
            <w:r>
              <w:rPr>
                <w:rFonts w:asciiTheme="minorHAnsi" w:eastAsiaTheme="minorEastAsia" w:hAnsiTheme="minorHAnsi" w:cstheme="minorBidi"/>
                <w:sz w:val="22"/>
                <w:szCs w:val="22"/>
                <w:lang w:eastAsia="it-IT"/>
              </w:rPr>
              <w:tab/>
            </w:r>
            <w:r w:rsidRPr="00794733">
              <w:rPr>
                <w:rStyle w:val="Collegamentoipertestuale"/>
                <w:rFonts w:ascii="Times New Roman" w:hAnsi="Times New Roman" w:cs="Times New Roman"/>
              </w:rPr>
              <w:t>Limite alla crescita annuale delle entrate tariffarie</w:t>
            </w:r>
            <w:r>
              <w:rPr>
                <w:webHidden/>
              </w:rPr>
              <w:tab/>
            </w:r>
            <w:r>
              <w:rPr>
                <w:webHidden/>
              </w:rPr>
              <w:fldChar w:fldCharType="begin"/>
            </w:r>
            <w:r>
              <w:rPr>
                <w:webHidden/>
              </w:rPr>
              <w:instrText xml:space="preserve"> PAGEREF _Toc71740623 \h </w:instrText>
            </w:r>
            <w:r>
              <w:rPr>
                <w:webHidden/>
              </w:rPr>
            </w:r>
            <w:r>
              <w:rPr>
                <w:webHidden/>
              </w:rPr>
              <w:fldChar w:fldCharType="separate"/>
            </w:r>
            <w:r>
              <w:rPr>
                <w:webHidden/>
              </w:rPr>
              <w:t>8</w:t>
            </w:r>
            <w:r>
              <w:rPr>
                <w:webHidden/>
              </w:rPr>
              <w:fldChar w:fldCharType="end"/>
            </w:r>
          </w:hyperlink>
        </w:p>
        <w:p w14:paraId="4C976455" w14:textId="77777777" w:rsidR="0043623A" w:rsidRDefault="0043623A">
          <w:pPr>
            <w:pStyle w:val="Sommario2"/>
            <w:rPr>
              <w:rFonts w:asciiTheme="minorHAnsi" w:eastAsiaTheme="minorEastAsia" w:hAnsiTheme="minorHAnsi" w:cstheme="minorBidi"/>
              <w:sz w:val="22"/>
              <w:szCs w:val="22"/>
              <w:lang w:eastAsia="it-IT"/>
            </w:rPr>
          </w:pPr>
          <w:hyperlink w:anchor="_Toc71740624" w:history="1">
            <w:r w:rsidRPr="00794733">
              <w:rPr>
                <w:rStyle w:val="Collegamentoipertestuale"/>
                <w:rFonts w:ascii="Times New Roman" w:hAnsi="Times New Roman" w:cs="Times New Roman"/>
              </w:rPr>
              <w:t>4.3</w:t>
            </w:r>
            <w:r>
              <w:rPr>
                <w:rFonts w:asciiTheme="minorHAnsi" w:eastAsiaTheme="minorEastAsia" w:hAnsiTheme="minorHAnsi" w:cstheme="minorBidi"/>
                <w:sz w:val="22"/>
                <w:szCs w:val="22"/>
                <w:lang w:eastAsia="it-IT"/>
              </w:rPr>
              <w:tab/>
            </w:r>
            <w:r w:rsidRPr="00794733">
              <w:rPr>
                <w:rStyle w:val="Collegamentoipertestuale"/>
                <w:rFonts w:ascii="Times New Roman" w:hAnsi="Times New Roman" w:cs="Times New Roman"/>
              </w:rPr>
              <w:t>Costi Operativi Incentivanti</w:t>
            </w:r>
            <w:r>
              <w:rPr>
                <w:webHidden/>
              </w:rPr>
              <w:tab/>
            </w:r>
            <w:r>
              <w:rPr>
                <w:webHidden/>
              </w:rPr>
              <w:fldChar w:fldCharType="begin"/>
            </w:r>
            <w:r>
              <w:rPr>
                <w:webHidden/>
              </w:rPr>
              <w:instrText xml:space="preserve"> PAGEREF _Toc71740624 \h </w:instrText>
            </w:r>
            <w:r>
              <w:rPr>
                <w:webHidden/>
              </w:rPr>
            </w:r>
            <w:r>
              <w:rPr>
                <w:webHidden/>
              </w:rPr>
              <w:fldChar w:fldCharType="separate"/>
            </w:r>
            <w:r>
              <w:rPr>
                <w:webHidden/>
              </w:rPr>
              <w:t>8</w:t>
            </w:r>
            <w:r>
              <w:rPr>
                <w:webHidden/>
              </w:rPr>
              <w:fldChar w:fldCharType="end"/>
            </w:r>
          </w:hyperlink>
        </w:p>
        <w:p w14:paraId="66F0F462" w14:textId="77777777" w:rsidR="0043623A" w:rsidRDefault="0043623A">
          <w:pPr>
            <w:pStyle w:val="Sommario2"/>
            <w:rPr>
              <w:rFonts w:asciiTheme="minorHAnsi" w:eastAsiaTheme="minorEastAsia" w:hAnsiTheme="minorHAnsi" w:cstheme="minorBidi"/>
              <w:sz w:val="22"/>
              <w:szCs w:val="22"/>
              <w:lang w:eastAsia="it-IT"/>
            </w:rPr>
          </w:pPr>
          <w:hyperlink w:anchor="_Toc71740625" w:history="1">
            <w:r w:rsidRPr="00794733">
              <w:rPr>
                <w:rStyle w:val="Collegamentoipertestuale"/>
                <w:rFonts w:ascii="Times New Roman" w:hAnsi="Times New Roman" w:cs="Times New Roman"/>
              </w:rPr>
              <w:t>4.4</w:t>
            </w:r>
            <w:r>
              <w:rPr>
                <w:rFonts w:asciiTheme="minorHAnsi" w:eastAsiaTheme="minorEastAsia" w:hAnsiTheme="minorHAnsi" w:cstheme="minorBidi"/>
                <w:sz w:val="22"/>
                <w:szCs w:val="22"/>
                <w:lang w:eastAsia="it-IT"/>
              </w:rPr>
              <w:tab/>
            </w:r>
            <w:r w:rsidRPr="00794733">
              <w:rPr>
                <w:rStyle w:val="Collegamentoipertestuale"/>
                <w:rFonts w:ascii="Times New Roman" w:hAnsi="Times New Roman" w:cs="Times New Roman"/>
              </w:rPr>
              <w:t>Eventuale superamento del limite alla crescita annuale delle entrate tariffarie</w:t>
            </w:r>
            <w:r>
              <w:rPr>
                <w:webHidden/>
              </w:rPr>
              <w:tab/>
            </w:r>
            <w:r>
              <w:rPr>
                <w:webHidden/>
              </w:rPr>
              <w:fldChar w:fldCharType="begin"/>
            </w:r>
            <w:r>
              <w:rPr>
                <w:webHidden/>
              </w:rPr>
              <w:instrText xml:space="preserve"> PAGEREF _Toc71740625 \h </w:instrText>
            </w:r>
            <w:r>
              <w:rPr>
                <w:webHidden/>
              </w:rPr>
            </w:r>
            <w:r>
              <w:rPr>
                <w:webHidden/>
              </w:rPr>
              <w:fldChar w:fldCharType="separate"/>
            </w:r>
            <w:r>
              <w:rPr>
                <w:webHidden/>
              </w:rPr>
              <w:t>8</w:t>
            </w:r>
            <w:r>
              <w:rPr>
                <w:webHidden/>
              </w:rPr>
              <w:fldChar w:fldCharType="end"/>
            </w:r>
          </w:hyperlink>
        </w:p>
        <w:p w14:paraId="44DC35D5" w14:textId="77777777" w:rsidR="0043623A" w:rsidRDefault="0043623A">
          <w:pPr>
            <w:pStyle w:val="Sommario2"/>
            <w:rPr>
              <w:rFonts w:asciiTheme="minorHAnsi" w:eastAsiaTheme="minorEastAsia" w:hAnsiTheme="minorHAnsi" w:cstheme="minorBidi"/>
              <w:sz w:val="22"/>
              <w:szCs w:val="22"/>
              <w:lang w:eastAsia="it-IT"/>
            </w:rPr>
          </w:pPr>
          <w:hyperlink w:anchor="_Toc71740626" w:history="1">
            <w:r w:rsidRPr="00794733">
              <w:rPr>
                <w:rStyle w:val="Collegamentoipertestuale"/>
                <w:rFonts w:ascii="Times New Roman" w:hAnsi="Times New Roman" w:cs="Times New Roman"/>
              </w:rPr>
              <w:t>4.5</w:t>
            </w:r>
            <w:r>
              <w:rPr>
                <w:rFonts w:asciiTheme="minorHAnsi" w:eastAsiaTheme="minorEastAsia" w:hAnsiTheme="minorHAnsi" w:cstheme="minorBidi"/>
                <w:sz w:val="22"/>
                <w:szCs w:val="22"/>
                <w:lang w:eastAsia="it-IT"/>
              </w:rPr>
              <w:tab/>
            </w:r>
            <w:r w:rsidRPr="00794733">
              <w:rPr>
                <w:rStyle w:val="Collegamentoipertestuale"/>
                <w:rFonts w:ascii="Times New Roman" w:hAnsi="Times New Roman" w:cs="Times New Roman"/>
              </w:rPr>
              <w:t>Scelta Degli Ulteriori Parametri</w:t>
            </w:r>
            <w:r>
              <w:rPr>
                <w:webHidden/>
              </w:rPr>
              <w:tab/>
            </w:r>
            <w:r>
              <w:rPr>
                <w:webHidden/>
              </w:rPr>
              <w:fldChar w:fldCharType="begin"/>
            </w:r>
            <w:r>
              <w:rPr>
                <w:webHidden/>
              </w:rPr>
              <w:instrText xml:space="preserve"> PAGEREF _Toc71740626 \h </w:instrText>
            </w:r>
            <w:r>
              <w:rPr>
                <w:webHidden/>
              </w:rPr>
            </w:r>
            <w:r>
              <w:rPr>
                <w:webHidden/>
              </w:rPr>
              <w:fldChar w:fldCharType="separate"/>
            </w:r>
            <w:r>
              <w:rPr>
                <w:webHidden/>
              </w:rPr>
              <w:t>8</w:t>
            </w:r>
            <w:r>
              <w:rPr>
                <w:webHidden/>
              </w:rPr>
              <w:fldChar w:fldCharType="end"/>
            </w:r>
          </w:hyperlink>
        </w:p>
        <w:p w14:paraId="7B0E8527" w14:textId="2662841F" w:rsidR="00284B24" w:rsidRPr="00600379" w:rsidRDefault="00284B24">
          <w:pPr>
            <w:rPr>
              <w:rFonts w:ascii="Times New Roman" w:hAnsi="Times New Roman" w:cs="Times New Roman"/>
            </w:rPr>
          </w:pPr>
          <w:r w:rsidRPr="00600379">
            <w:rPr>
              <w:rFonts w:ascii="Times New Roman" w:hAnsi="Times New Roman" w:cs="Times New Roman"/>
              <w:b/>
              <w:bCs/>
            </w:rPr>
            <w:fldChar w:fldCharType="end"/>
          </w:r>
        </w:p>
      </w:sdtContent>
    </w:sdt>
    <w:p w14:paraId="3CA9D012" w14:textId="77777777" w:rsidR="003677FE" w:rsidRDefault="003677FE">
      <w:pPr>
        <w:spacing w:line="276" w:lineRule="auto"/>
        <w:jc w:val="left"/>
        <w:rPr>
          <w:rFonts w:ascii="Times New Roman" w:eastAsiaTheme="majorEastAsia" w:hAnsi="Times New Roman" w:cs="Times New Roman"/>
          <w:b/>
          <w:bCs/>
          <w:smallCaps/>
          <w:sz w:val="24"/>
          <w:szCs w:val="28"/>
          <w:lang w:eastAsia="en-US"/>
        </w:rPr>
      </w:pPr>
      <w:bookmarkStart w:id="15" w:name="_Toc32586042"/>
      <w:r>
        <w:rPr>
          <w:rFonts w:ascii="Times New Roman" w:hAnsi="Times New Roman" w:cs="Times New Roman"/>
        </w:rPr>
        <w:br w:type="page"/>
      </w:r>
    </w:p>
    <w:p w14:paraId="3217E2B1" w14:textId="17E80F90" w:rsidR="001F5519" w:rsidRPr="00600379" w:rsidRDefault="001F5519" w:rsidP="0056501F">
      <w:pPr>
        <w:pStyle w:val="Titolo1"/>
        <w:rPr>
          <w:rFonts w:ascii="Times New Roman" w:hAnsi="Times New Roman" w:cs="Times New Roman"/>
        </w:rPr>
      </w:pPr>
      <w:bookmarkStart w:id="16" w:name="_Toc71740618"/>
      <w:r w:rsidRPr="00600379">
        <w:rPr>
          <w:rFonts w:ascii="Times New Roman" w:hAnsi="Times New Roman" w:cs="Times New Roman"/>
        </w:rPr>
        <w:lastRenderedPageBreak/>
        <w:t>Introduzione</w:t>
      </w:r>
      <w:bookmarkEnd w:id="15"/>
      <w:bookmarkEnd w:id="16"/>
    </w:p>
    <w:p w14:paraId="5960762B" w14:textId="77777777" w:rsidR="001F5519" w:rsidRPr="00600379" w:rsidRDefault="001F5519" w:rsidP="001F5519">
      <w:pPr>
        <w:autoSpaceDE w:val="0"/>
        <w:autoSpaceDN w:val="0"/>
        <w:adjustRightInd w:val="0"/>
        <w:spacing w:after="0"/>
        <w:ind w:firstLine="709"/>
        <w:jc w:val="left"/>
        <w:rPr>
          <w:rFonts w:ascii="Times New Roman" w:hAnsi="Times New Roman" w:cs="Times New Roman"/>
        </w:rPr>
      </w:pPr>
    </w:p>
    <w:p w14:paraId="64A22F9A" w14:textId="593BC065" w:rsidR="001F5519" w:rsidRPr="00600379" w:rsidRDefault="001F5519" w:rsidP="00284B24">
      <w:pPr>
        <w:rPr>
          <w:rFonts w:ascii="Times New Roman" w:hAnsi="Times New Roman" w:cs="Times New Roman"/>
        </w:rPr>
      </w:pPr>
      <w:r w:rsidRPr="00600379">
        <w:rPr>
          <w:rFonts w:ascii="Times New Roman" w:hAnsi="Times New Roman" w:cs="Times New Roman"/>
        </w:rPr>
        <w:t>Nel presente documento viene presentato il Piano Finanziario 202</w:t>
      </w:r>
      <w:r w:rsidR="003C50CB">
        <w:rPr>
          <w:rFonts w:ascii="Times New Roman" w:hAnsi="Times New Roman" w:cs="Times New Roman"/>
        </w:rPr>
        <w:t>1</w:t>
      </w:r>
      <w:r w:rsidRPr="00600379">
        <w:rPr>
          <w:rFonts w:ascii="Times New Roman" w:hAnsi="Times New Roman" w:cs="Times New Roman"/>
        </w:rPr>
        <w:t>, secondo quanto stabilito dall’Autorità di Regolazione per Energia Reti ed Ambiente (ARERA) con Delibera 31 Ottobre 2019 443/2019/R/</w:t>
      </w:r>
      <w:proofErr w:type="spellStart"/>
      <w:r w:rsidRPr="00600379">
        <w:rPr>
          <w:rFonts w:ascii="Times New Roman" w:hAnsi="Times New Roman" w:cs="Times New Roman"/>
        </w:rPr>
        <w:t>rif</w:t>
      </w:r>
      <w:proofErr w:type="spellEnd"/>
      <w:r w:rsidR="007B44D0">
        <w:rPr>
          <w:rFonts w:ascii="Times New Roman" w:hAnsi="Times New Roman" w:cs="Times New Roman"/>
        </w:rPr>
        <w:t>,</w:t>
      </w:r>
      <w:r w:rsidRPr="00600379">
        <w:rPr>
          <w:rFonts w:ascii="Times New Roman" w:hAnsi="Times New Roman" w:cs="Times New Roman"/>
        </w:rPr>
        <w:t xml:space="preserve"> che definisce i nuovi criteri di calcolo ed il riconoscimento dei costi efficienti di esercizio e di investimento, adottando il metodo tariffario per il servizio integrato di gestione dei rifiuti (MTR)</w:t>
      </w:r>
      <w:r w:rsidR="00250981">
        <w:rPr>
          <w:rFonts w:ascii="Times New Roman" w:hAnsi="Times New Roman" w:cs="Times New Roman"/>
        </w:rPr>
        <w:t>.</w:t>
      </w:r>
    </w:p>
    <w:p w14:paraId="3D091AEF" w14:textId="77777777" w:rsidR="001F5519" w:rsidRPr="00600379" w:rsidRDefault="001F5519" w:rsidP="00284B24">
      <w:pPr>
        <w:rPr>
          <w:rFonts w:ascii="Times New Roman" w:hAnsi="Times New Roman" w:cs="Times New Roman"/>
        </w:rPr>
      </w:pPr>
      <w:r w:rsidRPr="00600379">
        <w:rPr>
          <w:rFonts w:ascii="Times New Roman" w:hAnsi="Times New Roman" w:cs="Times New Roman"/>
        </w:rPr>
        <w:t>Con la Legge di Stabilità 2014 n. 147 del 27 Dicembre 2013, è istituita l’imposta unica comunale IUC. Essa si basa su due presupposti impositivi, uno costituito dal possesso di immobili e collegato alla loro natura e valore e l’altro collegato alla fruizione dei servizi comunali. La IUC si compone dell’imposta municipale propria (IMU), dal tributo per i servizi indivisibili (TASI) e dalla tassa sui rifiuti (TARI) quest’ultima destinata a finanziare i costi del servizio di raccolta e smaltimento dei rifiuti, a carico dell’utilizzatore.</w:t>
      </w:r>
    </w:p>
    <w:p w14:paraId="74F2BB7D" w14:textId="77777777" w:rsidR="004879BC" w:rsidRPr="00BA588F" w:rsidRDefault="004879BC" w:rsidP="004879BC">
      <w:pPr>
        <w:spacing w:after="0"/>
        <w:rPr>
          <w:rFonts w:ascii="Times New Roman" w:hAnsi="Times New Roman" w:cs="Times New Roman"/>
          <w:b/>
          <w:bCs/>
        </w:rPr>
      </w:pPr>
      <w:r w:rsidRPr="00600379">
        <w:rPr>
          <w:rFonts w:ascii="Times New Roman" w:hAnsi="Times New Roman" w:cs="Times New Roman"/>
        </w:rPr>
        <w:t>La TARI, come già avveniva nell’ambito della TARES, è volta a coprire interamente i costi relativi al servizio di gestione dei rifiuti avviati allo smaltimento.</w:t>
      </w:r>
    </w:p>
    <w:p w14:paraId="1F0FA72B" w14:textId="3171E84F" w:rsidR="004879BC" w:rsidRDefault="004879BC" w:rsidP="004879BC">
      <w:pPr>
        <w:rPr>
          <w:rFonts w:ascii="Times New Roman" w:hAnsi="Times New Roman" w:cs="Times New Roman"/>
        </w:rPr>
      </w:pPr>
      <w:r w:rsidRPr="00600379">
        <w:rPr>
          <w:rFonts w:ascii="Times New Roman" w:hAnsi="Times New Roman" w:cs="Times New Roman"/>
        </w:rPr>
        <w:t>La ta</w:t>
      </w:r>
      <w:r>
        <w:rPr>
          <w:rFonts w:ascii="Times New Roman" w:hAnsi="Times New Roman" w:cs="Times New Roman"/>
        </w:rPr>
        <w:t>ssa</w:t>
      </w:r>
      <w:r w:rsidRPr="00600379">
        <w:rPr>
          <w:rFonts w:ascii="Times New Roman" w:hAnsi="Times New Roman" w:cs="Times New Roman"/>
        </w:rPr>
        <w:t xml:space="preserve"> è commisurata all’anno solare e alla quantità e qualità media ordinaria di rifiuti prodotti per unità di superficie, in relazione agli usi e alla tipologia di attività svolte.</w:t>
      </w:r>
    </w:p>
    <w:p w14:paraId="0DF74AF9" w14:textId="77777777" w:rsidR="00250981" w:rsidRDefault="001F5519" w:rsidP="00557377">
      <w:pPr>
        <w:rPr>
          <w:rFonts w:ascii="Times New Roman" w:hAnsi="Times New Roman" w:cs="Times New Roman"/>
        </w:rPr>
      </w:pPr>
      <w:r w:rsidRPr="00600379">
        <w:rPr>
          <w:rFonts w:ascii="Times New Roman" w:hAnsi="Times New Roman" w:cs="Times New Roman"/>
        </w:rPr>
        <w:t>Il Consiglio comunale approva le tariffe del tributo in conformità al Piano Finanziario del servizio di gestione dei rifiuti urbani, redatto dal soggetto che svolge il servizio medesimo in coordinamento con l’Amministrazione Comunale ed approvato dall’autorità competente.</w:t>
      </w:r>
      <w:r w:rsidR="00557377">
        <w:rPr>
          <w:rFonts w:ascii="Times New Roman" w:hAnsi="Times New Roman" w:cs="Times New Roman"/>
        </w:rPr>
        <w:t xml:space="preserve"> </w:t>
      </w:r>
    </w:p>
    <w:p w14:paraId="284DEB5A" w14:textId="4F719EE2" w:rsidR="00250981" w:rsidRPr="00250981" w:rsidRDefault="00250981" w:rsidP="00557377">
      <w:pPr>
        <w:rPr>
          <w:rFonts w:ascii="Times New Roman" w:hAnsi="Times New Roman" w:cs="Times New Roman"/>
          <w:b/>
        </w:rPr>
      </w:pPr>
      <w:r w:rsidRPr="00250981">
        <w:rPr>
          <w:rFonts w:ascii="Times New Roman" w:hAnsi="Times New Roman" w:cs="Times New Roman"/>
          <w:b/>
        </w:rPr>
        <w:t>L’articolo 30 comma 5 del D.L. Sostegno (il cui testo integrale bollinato è allegato alla news pubblicata ieri sul nostro sito al seguente link) ha disposto che limitatamente all’anno 2021 i Comuni possono approvare le tariffe ed i regolamenti della TARI e della tariffa corrispettiva, sulla base del piano economico finanziario del servizio di gestione dei rifiuti, entro il 30 settembre 2021. Entro la stessa data potranno essere modificati i provvedimenti già deliberati, provvedendo ad effettuare le conseguenti modifiche al bilancio di previsione.</w:t>
      </w:r>
    </w:p>
    <w:p w14:paraId="20AB9E4B" w14:textId="1C690D41" w:rsidR="001F5519" w:rsidRDefault="00EB3D31" w:rsidP="00284B24">
      <w:pPr>
        <w:rPr>
          <w:rFonts w:ascii="Times New Roman" w:hAnsi="Times New Roman" w:cs="Times New Roman"/>
        </w:rPr>
      </w:pPr>
      <w:r>
        <w:rPr>
          <w:rFonts w:ascii="Times New Roman" w:hAnsi="Times New Roman" w:cs="Times New Roman"/>
        </w:rPr>
        <w:t xml:space="preserve">Il presente documento </w:t>
      </w:r>
      <w:r w:rsidR="001F5519" w:rsidRPr="00600379">
        <w:rPr>
          <w:rFonts w:ascii="Times New Roman" w:hAnsi="Times New Roman" w:cs="Times New Roman"/>
        </w:rPr>
        <w:t>contiene il Piano Finanziario della gestione integrata del servizio di raccolta, trasporto, recupero e/o smaltimento dei rifiuti urbani ed ogni altra attività relativa al</w:t>
      </w:r>
      <w:r w:rsidR="00925535" w:rsidRPr="00600379">
        <w:rPr>
          <w:rFonts w:ascii="Times New Roman" w:hAnsi="Times New Roman" w:cs="Times New Roman"/>
        </w:rPr>
        <w:t xml:space="preserve">l’igiene e alla pulizia urbana </w:t>
      </w:r>
      <w:r w:rsidR="001F5519" w:rsidRPr="00600379">
        <w:rPr>
          <w:rFonts w:ascii="Times New Roman" w:hAnsi="Times New Roman" w:cs="Times New Roman"/>
        </w:rPr>
        <w:t xml:space="preserve">del Comune di </w:t>
      </w:r>
      <w:r w:rsidR="0003062C">
        <w:rPr>
          <w:rFonts w:ascii="Times New Roman" w:hAnsi="Times New Roman" w:cs="Times New Roman"/>
        </w:rPr>
        <w:t>Oristano</w:t>
      </w:r>
      <w:r w:rsidR="00250981">
        <w:rPr>
          <w:rFonts w:ascii="Times New Roman" w:hAnsi="Times New Roman" w:cs="Times New Roman"/>
        </w:rPr>
        <w:t>.</w:t>
      </w:r>
    </w:p>
    <w:p w14:paraId="0AFAB59F" w14:textId="30685207" w:rsidR="00600379" w:rsidRDefault="001F5519" w:rsidP="00284B24">
      <w:pPr>
        <w:rPr>
          <w:rFonts w:ascii="Times New Roman" w:hAnsi="Times New Roman" w:cs="Times New Roman"/>
          <w:i/>
          <w:iCs/>
        </w:rPr>
      </w:pPr>
      <w:r w:rsidRPr="00EF3263">
        <w:rPr>
          <w:rFonts w:ascii="Times New Roman" w:hAnsi="Times New Roman" w:cs="Times New Roman"/>
          <w:u w:val="single"/>
        </w:rPr>
        <w:t xml:space="preserve">Per l’individuazione del costo del servizio di gestione dei rifiuti contenuto nel presente documento e per la conseguente elaborazione del Piano Finanziario </w:t>
      </w:r>
      <w:r w:rsidR="00EF3263" w:rsidRPr="00EF3263">
        <w:rPr>
          <w:rFonts w:ascii="Times New Roman" w:hAnsi="Times New Roman" w:cs="Times New Roman"/>
          <w:u w:val="single"/>
        </w:rPr>
        <w:t>si è tenuto conto di quanto stabilito dal punto 1.5, b) dell</w:t>
      </w:r>
      <w:r w:rsidR="00557377">
        <w:rPr>
          <w:rFonts w:ascii="Times New Roman" w:hAnsi="Times New Roman" w:cs="Times New Roman"/>
          <w:u w:val="single"/>
        </w:rPr>
        <w:t>a</w:t>
      </w:r>
      <w:r w:rsidR="00EF3263" w:rsidRPr="00EF3263">
        <w:rPr>
          <w:rFonts w:ascii="Times New Roman" w:hAnsi="Times New Roman" w:cs="Times New Roman"/>
          <w:u w:val="single"/>
        </w:rPr>
        <w:t xml:space="preserve"> Determinazione n. 02/DRIF/2020</w:t>
      </w:r>
      <w:r w:rsidR="007B44D0">
        <w:rPr>
          <w:rFonts w:ascii="Times New Roman" w:hAnsi="Times New Roman" w:cs="Times New Roman"/>
          <w:u w:val="single"/>
        </w:rPr>
        <w:t xml:space="preserve"> di ARERA</w:t>
      </w:r>
      <w:r w:rsidR="00BA25B8">
        <w:rPr>
          <w:rFonts w:ascii="Times New Roman" w:hAnsi="Times New Roman" w:cs="Times New Roman"/>
        </w:rPr>
        <w:t>: “</w:t>
      </w:r>
      <w:r w:rsidR="00BA25B8" w:rsidRPr="00BA25B8">
        <w:rPr>
          <w:rFonts w:ascii="Times New Roman" w:hAnsi="Times New Roman" w:cs="Times New Roman"/>
          <w:i/>
          <w:iCs/>
        </w:rPr>
        <w:t xml:space="preserve">Ove, in conseguenza di avvicendamenti gestionali, non siano disponibili i dati di costo di cui all’articolo 6 del MTR, il </w:t>
      </w:r>
      <w:r w:rsidR="007B44D0">
        <w:rPr>
          <w:rFonts w:ascii="Times New Roman" w:hAnsi="Times New Roman" w:cs="Times New Roman"/>
          <w:i/>
          <w:iCs/>
        </w:rPr>
        <w:t>G</w:t>
      </w:r>
      <w:r w:rsidR="00BA25B8" w:rsidRPr="00BA25B8">
        <w:rPr>
          <w:rFonts w:ascii="Times New Roman" w:hAnsi="Times New Roman" w:cs="Times New Roman"/>
          <w:i/>
          <w:iCs/>
        </w:rPr>
        <w:t>estore tenuto alla predisposizione del PEF deve:</w:t>
      </w:r>
      <w:r w:rsidR="00BA25B8">
        <w:rPr>
          <w:rFonts w:ascii="Times New Roman" w:hAnsi="Times New Roman" w:cs="Times New Roman"/>
        </w:rPr>
        <w:t xml:space="preserve"> </w:t>
      </w:r>
      <w:r w:rsidR="00BA25B8">
        <w:rPr>
          <w:rFonts w:ascii="Times New Roman" w:hAnsi="Times New Roman" w:cs="Times New Roman"/>
          <w:i/>
          <w:iCs/>
        </w:rPr>
        <w:t xml:space="preserve">b) </w:t>
      </w:r>
      <w:r w:rsidR="00BA25B8" w:rsidRPr="00BA25B8">
        <w:rPr>
          <w:rFonts w:ascii="Times New Roman" w:hAnsi="Times New Roman" w:cs="Times New Roman"/>
          <w:i/>
          <w:iCs/>
        </w:rPr>
        <w:t>nei casi di avvicendamenti gestionali aventi decorrenza a partire dal 2020, fare ricorso alle migliori stime possibili dei costi del servizio per il medesimo anno e porre pari a zero le componenti RC relative agli anni 2018 e 2019</w:t>
      </w:r>
      <w:r w:rsidR="00BA25B8">
        <w:rPr>
          <w:rFonts w:ascii="Times New Roman" w:hAnsi="Times New Roman" w:cs="Times New Roman"/>
          <w:i/>
          <w:iCs/>
        </w:rPr>
        <w:t>”</w:t>
      </w:r>
      <w:r w:rsidR="00BA25B8" w:rsidRPr="00BA25B8">
        <w:rPr>
          <w:rFonts w:ascii="Times New Roman" w:hAnsi="Times New Roman" w:cs="Times New Roman"/>
          <w:i/>
          <w:iCs/>
        </w:rPr>
        <w:t>.</w:t>
      </w:r>
    </w:p>
    <w:p w14:paraId="2D19E825" w14:textId="3792F386" w:rsidR="000E24C5" w:rsidRPr="000E24C5" w:rsidRDefault="000E24C5" w:rsidP="000E24C5">
      <w:pPr>
        <w:rPr>
          <w:rFonts w:ascii="Times New Roman" w:hAnsi="Times New Roman" w:cs="Times New Roman"/>
        </w:rPr>
      </w:pPr>
      <w:r w:rsidRPr="000E24C5">
        <w:rPr>
          <w:rFonts w:ascii="Times New Roman" w:hAnsi="Times New Roman" w:cs="Times New Roman"/>
        </w:rPr>
        <w:t>Le fonti contabili obbligatorie dei costi 2020 sono costituite dal Bilancio e dal Libro Cespiti</w:t>
      </w:r>
      <w:r>
        <w:rPr>
          <w:rFonts w:ascii="Times New Roman" w:hAnsi="Times New Roman" w:cs="Times New Roman"/>
        </w:rPr>
        <w:t xml:space="preserve">. </w:t>
      </w:r>
      <w:r w:rsidRPr="000E24C5">
        <w:rPr>
          <w:rFonts w:ascii="Times New Roman" w:hAnsi="Times New Roman" w:cs="Times New Roman"/>
        </w:rPr>
        <w:t xml:space="preserve">L’approvazione del bilancio, deve essere effettuata </w:t>
      </w:r>
      <w:r>
        <w:rPr>
          <w:rFonts w:ascii="Times New Roman" w:hAnsi="Times New Roman" w:cs="Times New Roman"/>
        </w:rPr>
        <w:t xml:space="preserve">entro 120 giorni dalla chiusura </w:t>
      </w:r>
      <w:r w:rsidRPr="000E24C5">
        <w:rPr>
          <w:rFonts w:ascii="Times New Roman" w:hAnsi="Times New Roman" w:cs="Times New Roman"/>
        </w:rPr>
        <w:t>dell’esercizio sociale. Tale termine potrà essere differito di altri</w:t>
      </w:r>
      <w:r>
        <w:rPr>
          <w:rFonts w:ascii="Times New Roman" w:hAnsi="Times New Roman" w:cs="Times New Roman"/>
        </w:rPr>
        <w:t xml:space="preserve"> 60 giorni (e quindi arrivare a </w:t>
      </w:r>
      <w:r w:rsidRPr="000E24C5">
        <w:rPr>
          <w:rFonts w:ascii="Times New Roman" w:hAnsi="Times New Roman" w:cs="Times New Roman"/>
        </w:rPr>
        <w:t>180 giorni), in due casi tassativamente definiti:</w:t>
      </w:r>
    </w:p>
    <w:p w14:paraId="55EB8C9C" w14:textId="4FFEC3FA" w:rsidR="000E24C5" w:rsidRPr="000E24C5" w:rsidRDefault="000E24C5" w:rsidP="000E24C5">
      <w:pPr>
        <w:pStyle w:val="Paragrafoelenco"/>
        <w:numPr>
          <w:ilvl w:val="0"/>
          <w:numId w:val="31"/>
        </w:numPr>
        <w:rPr>
          <w:rFonts w:ascii="Times New Roman" w:hAnsi="Times New Roman" w:cs="Times New Roman"/>
        </w:rPr>
      </w:pPr>
      <w:proofErr w:type="gramStart"/>
      <w:r w:rsidRPr="000E24C5">
        <w:rPr>
          <w:rFonts w:ascii="Times New Roman" w:hAnsi="Times New Roman" w:cs="Times New Roman"/>
        </w:rPr>
        <w:t>quando</w:t>
      </w:r>
      <w:proofErr w:type="gramEnd"/>
      <w:r w:rsidRPr="000E24C5">
        <w:rPr>
          <w:rFonts w:ascii="Times New Roman" w:hAnsi="Times New Roman" w:cs="Times New Roman"/>
        </w:rPr>
        <w:t xml:space="preserve"> cioè la società deve provvedere anche alla stesura del Bilancio consolidato</w:t>
      </w:r>
      <w:r w:rsidR="00DC51FE">
        <w:rPr>
          <w:rFonts w:ascii="Times New Roman" w:hAnsi="Times New Roman" w:cs="Times New Roman"/>
        </w:rPr>
        <w:t>;</w:t>
      </w:r>
    </w:p>
    <w:p w14:paraId="2B996A14" w14:textId="39C05E55" w:rsidR="000E24C5" w:rsidRPr="000E24C5" w:rsidRDefault="000E24C5" w:rsidP="000E24C5">
      <w:pPr>
        <w:pStyle w:val="Paragrafoelenco"/>
        <w:numPr>
          <w:ilvl w:val="0"/>
          <w:numId w:val="31"/>
        </w:numPr>
        <w:rPr>
          <w:rFonts w:ascii="Times New Roman" w:hAnsi="Times New Roman" w:cs="Times New Roman"/>
        </w:rPr>
      </w:pPr>
      <w:proofErr w:type="gramStart"/>
      <w:r w:rsidRPr="000E24C5">
        <w:rPr>
          <w:rFonts w:ascii="Times New Roman" w:hAnsi="Times New Roman" w:cs="Times New Roman"/>
        </w:rPr>
        <w:t>quando</w:t>
      </w:r>
      <w:proofErr w:type="gramEnd"/>
      <w:r w:rsidRPr="000E24C5">
        <w:rPr>
          <w:rFonts w:ascii="Times New Roman" w:hAnsi="Times New Roman" w:cs="Times New Roman"/>
        </w:rPr>
        <w:t xml:space="preserve"> particolari esigenze relative alla struttura e all’oggetto della società lo</w:t>
      </w:r>
      <w:r>
        <w:rPr>
          <w:rFonts w:ascii="Times New Roman" w:hAnsi="Times New Roman" w:cs="Times New Roman"/>
        </w:rPr>
        <w:t xml:space="preserve"> </w:t>
      </w:r>
      <w:r w:rsidRPr="000E24C5">
        <w:rPr>
          <w:rFonts w:ascii="Times New Roman" w:hAnsi="Times New Roman" w:cs="Times New Roman"/>
        </w:rPr>
        <w:t>richiedono.</w:t>
      </w:r>
    </w:p>
    <w:p w14:paraId="3C924D74" w14:textId="1EC84A74" w:rsidR="000E24C5" w:rsidRPr="000E24C5" w:rsidRDefault="000E24C5" w:rsidP="000E24C5">
      <w:pPr>
        <w:rPr>
          <w:rFonts w:ascii="Times New Roman" w:hAnsi="Times New Roman" w:cs="Times New Roman"/>
        </w:rPr>
      </w:pPr>
      <w:r w:rsidRPr="000E24C5">
        <w:rPr>
          <w:rFonts w:ascii="Times New Roman" w:hAnsi="Times New Roman" w:cs="Times New Roman"/>
        </w:rPr>
        <w:t>Copia del bilancio di esercizio corredata dalla copia degli at</w:t>
      </w:r>
      <w:r>
        <w:rPr>
          <w:rFonts w:ascii="Times New Roman" w:hAnsi="Times New Roman" w:cs="Times New Roman"/>
        </w:rPr>
        <w:t xml:space="preserve">ti comprovanti la decisione dei </w:t>
      </w:r>
      <w:r w:rsidRPr="000E24C5">
        <w:rPr>
          <w:rFonts w:ascii="Times New Roman" w:hAnsi="Times New Roman" w:cs="Times New Roman"/>
        </w:rPr>
        <w:t>soci che ha approvato il bilancio deve essere depositata entr</w:t>
      </w:r>
      <w:r>
        <w:rPr>
          <w:rFonts w:ascii="Times New Roman" w:hAnsi="Times New Roman" w:cs="Times New Roman"/>
        </w:rPr>
        <w:t xml:space="preserve">o 30 giorni dall’approvazione a </w:t>
      </w:r>
      <w:r w:rsidRPr="000E24C5">
        <w:rPr>
          <w:rFonts w:ascii="Times New Roman" w:hAnsi="Times New Roman" w:cs="Times New Roman"/>
        </w:rPr>
        <w:t>cura degli amministratori presso il competente registro imprese.</w:t>
      </w:r>
    </w:p>
    <w:p w14:paraId="4E3F60A5" w14:textId="672BE51D" w:rsidR="000E24C5" w:rsidRDefault="000E24C5" w:rsidP="000E24C5">
      <w:pPr>
        <w:rPr>
          <w:rFonts w:ascii="Times New Roman" w:hAnsi="Times New Roman" w:cs="Times New Roman"/>
        </w:rPr>
      </w:pPr>
      <w:r w:rsidRPr="00DC51FE">
        <w:rPr>
          <w:rFonts w:ascii="Times New Roman" w:hAnsi="Times New Roman" w:cs="Times New Roman"/>
        </w:rPr>
        <w:t>Considerando che le fonti contabili obbligatorie dei costi 2</w:t>
      </w:r>
      <w:r w:rsidRPr="00DC51FE">
        <w:rPr>
          <w:rFonts w:ascii="Times New Roman" w:hAnsi="Times New Roman" w:cs="Times New Roman"/>
        </w:rPr>
        <w:t xml:space="preserve">020, saranno quindi approvate e </w:t>
      </w:r>
      <w:r w:rsidRPr="00DC51FE">
        <w:rPr>
          <w:rFonts w:ascii="Times New Roman" w:hAnsi="Times New Roman" w:cs="Times New Roman"/>
        </w:rPr>
        <w:t>depositate, tra i 150 e i 210 giorni dalla chiusura dell’esercizi</w:t>
      </w:r>
      <w:r w:rsidRPr="00DC51FE">
        <w:rPr>
          <w:rFonts w:ascii="Times New Roman" w:hAnsi="Times New Roman" w:cs="Times New Roman"/>
        </w:rPr>
        <w:t xml:space="preserve">o sociale, non è plausibile che </w:t>
      </w:r>
      <w:r w:rsidRPr="00DC51FE">
        <w:rPr>
          <w:rFonts w:ascii="Times New Roman" w:hAnsi="Times New Roman" w:cs="Times New Roman"/>
        </w:rPr>
        <w:t xml:space="preserve">tali dati possano essere trasmessi all’ETC </w:t>
      </w:r>
      <w:r w:rsidR="00DC51FE" w:rsidRPr="00DC51FE">
        <w:rPr>
          <w:rFonts w:ascii="Times New Roman" w:hAnsi="Times New Roman" w:cs="Times New Roman"/>
        </w:rPr>
        <w:t xml:space="preserve">in tempo </w:t>
      </w:r>
      <w:r w:rsidRPr="00DC51FE">
        <w:rPr>
          <w:rFonts w:ascii="Times New Roman" w:hAnsi="Times New Roman" w:cs="Times New Roman"/>
        </w:rPr>
        <w:t>per l’approvazione de</w:t>
      </w:r>
      <w:r w:rsidRPr="00DC51FE">
        <w:rPr>
          <w:rFonts w:ascii="Times New Roman" w:hAnsi="Times New Roman" w:cs="Times New Roman"/>
        </w:rPr>
        <w:t>l PEF</w:t>
      </w:r>
      <w:r w:rsidR="00DC51FE" w:rsidRPr="00DC51FE">
        <w:rPr>
          <w:rFonts w:ascii="Times New Roman" w:hAnsi="Times New Roman" w:cs="Times New Roman"/>
        </w:rPr>
        <w:t>.</w:t>
      </w:r>
    </w:p>
    <w:p w14:paraId="5D9B821D" w14:textId="6FCB88B2" w:rsidR="00ED6007" w:rsidRDefault="00ED6007" w:rsidP="00ED6007">
      <w:pPr>
        <w:rPr>
          <w:rFonts w:ascii="Times New Roman" w:hAnsi="Times New Roman" w:cs="Times New Roman"/>
          <w:b/>
          <w:bCs/>
          <w:u w:val="single"/>
        </w:rPr>
      </w:pPr>
      <w:r w:rsidRPr="00585202">
        <w:rPr>
          <w:rFonts w:ascii="Times New Roman" w:hAnsi="Times New Roman" w:cs="Times New Roman"/>
          <w:b/>
          <w:bCs/>
          <w:u w:val="single"/>
        </w:rPr>
        <w:t xml:space="preserve">Quindi, il Gestore Formula Ambiente S.p.A., </w:t>
      </w:r>
      <w:r w:rsidR="00585202" w:rsidRPr="00585202">
        <w:rPr>
          <w:rFonts w:ascii="Times New Roman" w:hAnsi="Times New Roman" w:cs="Times New Roman"/>
          <w:b/>
          <w:bCs/>
          <w:u w:val="single"/>
        </w:rPr>
        <w:t>ha fornito</w:t>
      </w:r>
      <w:r w:rsidRPr="00585202">
        <w:rPr>
          <w:rFonts w:ascii="Times New Roman" w:hAnsi="Times New Roman" w:cs="Times New Roman"/>
          <w:b/>
          <w:bCs/>
          <w:u w:val="single"/>
        </w:rPr>
        <w:t xml:space="preserve"> i dati dichiarati nella “RELAZIONE</w:t>
      </w:r>
      <w:r w:rsidR="00585202" w:rsidRPr="00585202">
        <w:rPr>
          <w:rFonts w:ascii="Times New Roman" w:hAnsi="Times New Roman" w:cs="Times New Roman"/>
          <w:b/>
          <w:bCs/>
          <w:u w:val="single"/>
        </w:rPr>
        <w:t xml:space="preserve"> </w:t>
      </w:r>
      <w:r w:rsidRPr="00585202">
        <w:rPr>
          <w:rFonts w:ascii="Times New Roman" w:hAnsi="Times New Roman" w:cs="Times New Roman"/>
          <w:b/>
          <w:bCs/>
          <w:u w:val="single"/>
        </w:rPr>
        <w:t>GIUSTIFICATIVA SULLA CONGRUITÀ DELL’OFFERTA” della documentazione della gara</w:t>
      </w:r>
      <w:r w:rsidR="00585202" w:rsidRPr="00585202">
        <w:rPr>
          <w:rFonts w:ascii="Times New Roman" w:hAnsi="Times New Roman" w:cs="Times New Roman"/>
          <w:b/>
          <w:bCs/>
          <w:u w:val="single"/>
        </w:rPr>
        <w:t xml:space="preserve"> </w:t>
      </w:r>
      <w:r w:rsidRPr="00585202">
        <w:rPr>
          <w:rFonts w:ascii="Times New Roman" w:hAnsi="Times New Roman" w:cs="Times New Roman"/>
          <w:b/>
          <w:bCs/>
          <w:u w:val="single"/>
        </w:rPr>
        <w:t>“Servizio di gestione dei rifiuti urbani ed assimilati e Concessione del servizio di raccolta</w:t>
      </w:r>
      <w:r w:rsidR="00585202" w:rsidRPr="00585202">
        <w:rPr>
          <w:rFonts w:ascii="Times New Roman" w:hAnsi="Times New Roman" w:cs="Times New Roman"/>
          <w:b/>
          <w:bCs/>
          <w:u w:val="single"/>
        </w:rPr>
        <w:t xml:space="preserve"> </w:t>
      </w:r>
      <w:r w:rsidRPr="00585202">
        <w:rPr>
          <w:rFonts w:ascii="Times New Roman" w:hAnsi="Times New Roman" w:cs="Times New Roman"/>
          <w:b/>
          <w:bCs/>
          <w:u w:val="single"/>
        </w:rPr>
        <w:t>e gestione dei rifiuti portuali nel Comune di Oristano - CIG 8049149FDE”</w:t>
      </w:r>
      <w:r w:rsidR="00BA588F">
        <w:rPr>
          <w:rFonts w:ascii="Times New Roman" w:hAnsi="Times New Roman" w:cs="Times New Roman"/>
          <w:b/>
          <w:bCs/>
          <w:u w:val="single"/>
        </w:rPr>
        <w:t>.</w:t>
      </w:r>
      <w:r w:rsidRPr="00585202">
        <w:rPr>
          <w:rFonts w:ascii="Times New Roman" w:hAnsi="Times New Roman" w:cs="Times New Roman"/>
          <w:b/>
          <w:bCs/>
          <w:u w:val="single"/>
        </w:rPr>
        <w:t xml:space="preserve"> </w:t>
      </w:r>
      <w:r w:rsidR="00BA588F">
        <w:rPr>
          <w:rFonts w:ascii="Times New Roman" w:hAnsi="Times New Roman" w:cs="Times New Roman"/>
          <w:b/>
          <w:bCs/>
          <w:u w:val="single"/>
        </w:rPr>
        <w:t>T</w:t>
      </w:r>
      <w:r w:rsidRPr="00585202">
        <w:rPr>
          <w:rFonts w:ascii="Times New Roman" w:hAnsi="Times New Roman" w:cs="Times New Roman"/>
          <w:b/>
          <w:bCs/>
          <w:u w:val="single"/>
        </w:rPr>
        <w:t>ale contratto</w:t>
      </w:r>
      <w:r w:rsidR="00585202" w:rsidRPr="00585202">
        <w:rPr>
          <w:rFonts w:ascii="Times New Roman" w:hAnsi="Times New Roman" w:cs="Times New Roman"/>
          <w:b/>
          <w:bCs/>
          <w:u w:val="single"/>
        </w:rPr>
        <w:t xml:space="preserve"> </w:t>
      </w:r>
      <w:r w:rsidRPr="00585202">
        <w:rPr>
          <w:rFonts w:ascii="Times New Roman" w:hAnsi="Times New Roman" w:cs="Times New Roman"/>
          <w:b/>
          <w:bCs/>
          <w:u w:val="single"/>
        </w:rPr>
        <w:t>è in essere dal 1 maggio 2020, tuttavia i dati sono stati riparametrati all’anno solare.</w:t>
      </w:r>
    </w:p>
    <w:p w14:paraId="48EBC0EC" w14:textId="2C191642" w:rsidR="000E24C5" w:rsidRPr="000E24C5" w:rsidRDefault="000E24C5" w:rsidP="000E24C5">
      <w:pPr>
        <w:spacing w:after="0"/>
        <w:rPr>
          <w:rFonts w:ascii="Times New Roman" w:hAnsi="Times New Roman" w:cs="Times New Roman"/>
          <w:bCs/>
        </w:rPr>
      </w:pPr>
      <w:r w:rsidRPr="000E24C5">
        <w:rPr>
          <w:rFonts w:ascii="Times New Roman" w:hAnsi="Times New Roman" w:cs="Times New Roman"/>
          <w:bCs/>
        </w:rPr>
        <w:t>Formula Ambiente S.p.A. non può fornire i dati necessari al</w:t>
      </w:r>
      <w:r w:rsidRPr="000E24C5">
        <w:rPr>
          <w:rFonts w:ascii="Times New Roman" w:hAnsi="Times New Roman" w:cs="Times New Roman"/>
          <w:bCs/>
        </w:rPr>
        <w:t xml:space="preserve"> calcolo dei dati di conguaglio </w:t>
      </w:r>
      <w:r w:rsidRPr="000E24C5">
        <w:rPr>
          <w:rFonts w:ascii="Times New Roman" w:hAnsi="Times New Roman" w:cs="Times New Roman"/>
          <w:bCs/>
        </w:rPr>
        <w:t>basati sulle fonti contabili del 2017 o 2018, perché</w:t>
      </w:r>
      <w:r w:rsidRPr="000E24C5">
        <w:rPr>
          <w:rFonts w:ascii="Times New Roman" w:hAnsi="Times New Roman" w:cs="Times New Roman"/>
          <w:bCs/>
        </w:rPr>
        <w:t xml:space="preserve"> il contratto è stato stipulato </w:t>
      </w:r>
      <w:r w:rsidRPr="000E24C5">
        <w:rPr>
          <w:rFonts w:ascii="Times New Roman" w:hAnsi="Times New Roman" w:cs="Times New Roman"/>
          <w:bCs/>
        </w:rPr>
        <w:t>successivamente.</w:t>
      </w:r>
    </w:p>
    <w:p w14:paraId="3B9D4190" w14:textId="28682031" w:rsidR="009C764F" w:rsidRPr="007B44D0" w:rsidRDefault="009C764F" w:rsidP="007B44D0">
      <w:pPr>
        <w:spacing w:after="0"/>
        <w:rPr>
          <w:rFonts w:ascii="Times New Roman" w:hAnsi="Times New Roman" w:cs="Times New Roman"/>
          <w:b/>
          <w:bCs/>
        </w:rPr>
      </w:pPr>
      <w:r w:rsidRPr="009C764F">
        <w:rPr>
          <w:rFonts w:ascii="Times New Roman" w:hAnsi="Times New Roman" w:cs="Times New Roman"/>
          <w:b/>
          <w:bCs/>
        </w:rPr>
        <w:t>I documenti di input utilizzati per il calcolo dei dati di competenza del Gestore per la redazione del PEF “Grezzo” sono</w:t>
      </w:r>
      <w:r w:rsidR="007B44D0">
        <w:rPr>
          <w:rFonts w:ascii="Times New Roman" w:hAnsi="Times New Roman" w:cs="Times New Roman"/>
          <w:b/>
          <w:bCs/>
        </w:rPr>
        <w:t xml:space="preserve"> </w:t>
      </w:r>
      <w:r w:rsidR="00BA588F" w:rsidRPr="007B44D0">
        <w:rPr>
          <w:rFonts w:ascii="Times New Roman" w:hAnsi="Times New Roman" w:cs="Times New Roman"/>
          <w:b/>
          <w:bCs/>
        </w:rPr>
        <w:t xml:space="preserve">il </w:t>
      </w:r>
      <w:r w:rsidRPr="007B44D0">
        <w:rPr>
          <w:rFonts w:ascii="Times New Roman" w:hAnsi="Times New Roman" w:cs="Times New Roman"/>
          <w:b/>
          <w:bCs/>
        </w:rPr>
        <w:t>Contratto di appalto</w:t>
      </w:r>
      <w:r w:rsidR="007B44D0">
        <w:rPr>
          <w:rFonts w:ascii="Times New Roman" w:hAnsi="Times New Roman" w:cs="Times New Roman"/>
          <w:b/>
          <w:bCs/>
        </w:rPr>
        <w:t xml:space="preserve"> e </w:t>
      </w:r>
      <w:r w:rsidR="00BA588F" w:rsidRPr="007B44D0">
        <w:rPr>
          <w:rFonts w:ascii="Times New Roman" w:hAnsi="Times New Roman" w:cs="Times New Roman"/>
          <w:b/>
          <w:bCs/>
        </w:rPr>
        <w:t xml:space="preserve">il </w:t>
      </w:r>
      <w:r w:rsidRPr="007B44D0">
        <w:rPr>
          <w:rFonts w:ascii="Times New Roman" w:hAnsi="Times New Roman" w:cs="Times New Roman"/>
          <w:b/>
          <w:bCs/>
        </w:rPr>
        <w:t>Giustificativo economico e progetto di gara</w:t>
      </w:r>
      <w:r w:rsidR="00BA588F" w:rsidRPr="007B44D0">
        <w:rPr>
          <w:rFonts w:ascii="Times New Roman" w:hAnsi="Times New Roman" w:cs="Times New Roman"/>
          <w:b/>
          <w:bCs/>
        </w:rPr>
        <w:t>.</w:t>
      </w:r>
    </w:p>
    <w:p w14:paraId="24AA10F6" w14:textId="31113D7B" w:rsidR="00ED6007" w:rsidRPr="007B44D0" w:rsidRDefault="00ED6007" w:rsidP="007B44D0">
      <w:pPr>
        <w:spacing w:after="0"/>
        <w:rPr>
          <w:rFonts w:ascii="Times New Roman" w:hAnsi="Times New Roman" w:cs="Times New Roman"/>
          <w:b/>
          <w:bCs/>
        </w:rPr>
      </w:pPr>
      <w:r w:rsidRPr="009C764F">
        <w:rPr>
          <w:rFonts w:ascii="Times New Roman" w:hAnsi="Times New Roman" w:cs="Times New Roman"/>
          <w:b/>
          <w:bCs/>
        </w:rPr>
        <w:t>Formula Ambiente S.p.A. risponde dei propri dati per i quali soli sottoscrive la dichiarazione</w:t>
      </w:r>
      <w:r w:rsidR="00585202" w:rsidRPr="009C764F">
        <w:rPr>
          <w:rFonts w:ascii="Times New Roman" w:hAnsi="Times New Roman" w:cs="Times New Roman"/>
          <w:b/>
          <w:bCs/>
        </w:rPr>
        <w:t xml:space="preserve"> </w:t>
      </w:r>
      <w:r w:rsidRPr="009C764F">
        <w:rPr>
          <w:rFonts w:ascii="Times New Roman" w:hAnsi="Times New Roman" w:cs="Times New Roman"/>
          <w:b/>
          <w:bCs/>
        </w:rPr>
        <w:t>di veridicità.</w:t>
      </w:r>
      <w:r>
        <w:rPr>
          <w:rFonts w:ascii="Times New Roman" w:hAnsi="Times New Roman" w:cs="Times New Roman"/>
        </w:rPr>
        <w:br w:type="page"/>
      </w:r>
    </w:p>
    <w:p w14:paraId="0F0C96CB" w14:textId="578D5FE6" w:rsidR="001F5519" w:rsidRPr="00600379" w:rsidRDefault="00F62686" w:rsidP="0056501F">
      <w:pPr>
        <w:pStyle w:val="Titolo1"/>
        <w:rPr>
          <w:rFonts w:ascii="Times New Roman" w:hAnsi="Times New Roman" w:cs="Times New Roman"/>
        </w:rPr>
      </w:pPr>
      <w:bookmarkStart w:id="17" w:name="_Toc32586043"/>
      <w:bookmarkStart w:id="18" w:name="_Toc71740619"/>
      <w:r w:rsidRPr="00600379">
        <w:rPr>
          <w:rFonts w:ascii="Times New Roman" w:hAnsi="Times New Roman" w:cs="Times New Roman"/>
        </w:rPr>
        <w:t>P</w:t>
      </w:r>
      <w:r w:rsidR="001F5519" w:rsidRPr="00600379">
        <w:rPr>
          <w:rFonts w:ascii="Times New Roman" w:hAnsi="Times New Roman" w:cs="Times New Roman"/>
        </w:rPr>
        <w:t>erimetro gestione affidamento e servizi forniti</w:t>
      </w:r>
      <w:bookmarkEnd w:id="17"/>
      <w:bookmarkEnd w:id="18"/>
    </w:p>
    <w:p w14:paraId="731062F5" w14:textId="77777777" w:rsidR="00585202" w:rsidRDefault="00585202" w:rsidP="00ED6007">
      <w:pPr>
        <w:spacing w:after="0"/>
        <w:rPr>
          <w:rFonts w:ascii="Times New Roman" w:hAnsi="Times New Roman" w:cs="Times New Roman"/>
        </w:rPr>
      </w:pPr>
    </w:p>
    <w:p w14:paraId="3F288ED3" w14:textId="1D9EE052" w:rsidR="00ED6007" w:rsidRPr="00ED6007" w:rsidRDefault="00ED6007" w:rsidP="00ED6007">
      <w:pPr>
        <w:spacing w:after="0"/>
        <w:rPr>
          <w:rFonts w:ascii="Times New Roman" w:hAnsi="Times New Roman" w:cs="Times New Roman"/>
        </w:rPr>
      </w:pPr>
      <w:r w:rsidRPr="00ED6007">
        <w:rPr>
          <w:rFonts w:ascii="Times New Roman" w:hAnsi="Times New Roman" w:cs="Times New Roman"/>
        </w:rPr>
        <w:t>L’ambito servito da Formula Ambiente S.p.A. è il territorio del COMUNE DI ORISTANO.</w:t>
      </w:r>
    </w:p>
    <w:p w14:paraId="11FC1CBB" w14:textId="06925B0A" w:rsidR="00ED6007" w:rsidRPr="00ED6007" w:rsidRDefault="00F24DAC" w:rsidP="00ED6007">
      <w:pPr>
        <w:spacing w:after="0"/>
        <w:rPr>
          <w:rFonts w:ascii="Times New Roman" w:hAnsi="Times New Roman" w:cs="Times New Roman"/>
        </w:rPr>
      </w:pPr>
      <w:r>
        <w:rPr>
          <w:rFonts w:ascii="Times New Roman" w:hAnsi="Times New Roman" w:cs="Times New Roman"/>
        </w:rPr>
        <w:t>I s</w:t>
      </w:r>
      <w:r w:rsidR="00ED6007" w:rsidRPr="00ED6007">
        <w:rPr>
          <w:rFonts w:ascii="Times New Roman" w:hAnsi="Times New Roman" w:cs="Times New Roman"/>
        </w:rPr>
        <w:t xml:space="preserve">ervizi </w:t>
      </w:r>
      <w:r>
        <w:rPr>
          <w:rFonts w:ascii="Times New Roman" w:hAnsi="Times New Roman" w:cs="Times New Roman"/>
        </w:rPr>
        <w:t xml:space="preserve">principali </w:t>
      </w:r>
      <w:r w:rsidR="00ED6007" w:rsidRPr="00ED6007">
        <w:rPr>
          <w:rFonts w:ascii="Times New Roman" w:hAnsi="Times New Roman" w:cs="Times New Roman"/>
        </w:rPr>
        <w:t>forniti</w:t>
      </w:r>
      <w:r>
        <w:rPr>
          <w:rFonts w:ascii="Times New Roman" w:hAnsi="Times New Roman" w:cs="Times New Roman"/>
        </w:rPr>
        <w:t xml:space="preserve"> sono i seguenti</w:t>
      </w:r>
      <w:r w:rsidR="00ED6007" w:rsidRPr="00ED6007">
        <w:rPr>
          <w:rFonts w:ascii="Times New Roman" w:hAnsi="Times New Roman" w:cs="Times New Roman"/>
        </w:rPr>
        <w:t>:</w:t>
      </w:r>
    </w:p>
    <w:p w14:paraId="5B238322" w14:textId="77777777" w:rsidR="00ED6007" w:rsidRDefault="00ED6007" w:rsidP="00ED6007">
      <w:pPr>
        <w:pStyle w:val="Paragrafoelenco"/>
        <w:numPr>
          <w:ilvl w:val="0"/>
          <w:numId w:val="27"/>
        </w:numPr>
        <w:rPr>
          <w:rFonts w:ascii="Times New Roman" w:hAnsi="Times New Roman" w:cs="Times New Roman"/>
        </w:rPr>
      </w:pPr>
      <w:r w:rsidRPr="00ED6007">
        <w:rPr>
          <w:rFonts w:ascii="Times New Roman" w:hAnsi="Times New Roman" w:cs="Times New Roman"/>
        </w:rPr>
        <w:t>Raccolta domiciliare Porta a Porta o di prossimità per frazione indifferenziata, carta e cartone, plastica e metalli, vetro, frazione organica;</w:t>
      </w:r>
    </w:p>
    <w:p w14:paraId="27ED86FE" w14:textId="36356ED0" w:rsidR="00ED6007" w:rsidRDefault="00ED6007" w:rsidP="00ED6007">
      <w:pPr>
        <w:pStyle w:val="Paragrafoelenco"/>
        <w:numPr>
          <w:ilvl w:val="0"/>
          <w:numId w:val="27"/>
        </w:numPr>
        <w:rPr>
          <w:rFonts w:ascii="Times New Roman" w:hAnsi="Times New Roman" w:cs="Times New Roman"/>
        </w:rPr>
      </w:pPr>
      <w:r w:rsidRPr="00ED6007">
        <w:rPr>
          <w:rFonts w:ascii="Times New Roman" w:hAnsi="Times New Roman" w:cs="Times New Roman"/>
        </w:rPr>
        <w:t>Raccolta domiciliare a prenotazione per ingombranti</w:t>
      </w:r>
      <w:r w:rsidR="00F24DAC">
        <w:rPr>
          <w:rFonts w:ascii="Times New Roman" w:hAnsi="Times New Roman" w:cs="Times New Roman"/>
        </w:rPr>
        <w:t>, sfalci e potature e oli vegetali</w:t>
      </w:r>
      <w:r w:rsidRPr="00ED6007">
        <w:rPr>
          <w:rFonts w:ascii="Times New Roman" w:hAnsi="Times New Roman" w:cs="Times New Roman"/>
        </w:rPr>
        <w:t>;</w:t>
      </w:r>
    </w:p>
    <w:p w14:paraId="66EA82BC" w14:textId="77777777" w:rsidR="00ED6007" w:rsidRDefault="00ED6007" w:rsidP="00ED6007">
      <w:pPr>
        <w:pStyle w:val="Paragrafoelenco"/>
        <w:numPr>
          <w:ilvl w:val="0"/>
          <w:numId w:val="27"/>
        </w:numPr>
        <w:rPr>
          <w:rFonts w:ascii="Times New Roman" w:hAnsi="Times New Roman" w:cs="Times New Roman"/>
        </w:rPr>
      </w:pPr>
      <w:r w:rsidRPr="00ED6007">
        <w:rPr>
          <w:rFonts w:ascii="Times New Roman" w:hAnsi="Times New Roman" w:cs="Times New Roman"/>
        </w:rPr>
        <w:t>Trasporto e conferimento rifiuti presso impianti di smaltimento o recupero;</w:t>
      </w:r>
    </w:p>
    <w:p w14:paraId="310A906C" w14:textId="77777777" w:rsidR="00ED6007" w:rsidRDefault="00ED6007" w:rsidP="00ED6007">
      <w:pPr>
        <w:pStyle w:val="Paragrafoelenco"/>
        <w:numPr>
          <w:ilvl w:val="0"/>
          <w:numId w:val="27"/>
        </w:numPr>
        <w:rPr>
          <w:rFonts w:ascii="Times New Roman" w:hAnsi="Times New Roman" w:cs="Times New Roman"/>
        </w:rPr>
      </w:pPr>
      <w:r w:rsidRPr="00ED6007">
        <w:rPr>
          <w:rFonts w:ascii="Times New Roman" w:hAnsi="Times New Roman" w:cs="Times New Roman"/>
        </w:rPr>
        <w:t>Servizio di trasporto e smaltimento delle seguenti tipologie di rifiuto: Pile e batterie,</w:t>
      </w:r>
      <w:r>
        <w:rPr>
          <w:rFonts w:ascii="Times New Roman" w:hAnsi="Times New Roman" w:cs="Times New Roman"/>
        </w:rPr>
        <w:t xml:space="preserve"> </w:t>
      </w:r>
      <w:r w:rsidRPr="00ED6007">
        <w:rPr>
          <w:rFonts w:ascii="Times New Roman" w:hAnsi="Times New Roman" w:cs="Times New Roman"/>
        </w:rPr>
        <w:t>medicinali, Prodotti e loro contenitori etichettati “T” e “F”;</w:t>
      </w:r>
    </w:p>
    <w:p w14:paraId="45A45AF8" w14:textId="77777777" w:rsidR="00585202" w:rsidRDefault="00ED6007" w:rsidP="00585202">
      <w:pPr>
        <w:pStyle w:val="Paragrafoelenco"/>
        <w:numPr>
          <w:ilvl w:val="0"/>
          <w:numId w:val="27"/>
        </w:numPr>
        <w:rPr>
          <w:rFonts w:ascii="Times New Roman" w:hAnsi="Times New Roman" w:cs="Times New Roman"/>
        </w:rPr>
      </w:pPr>
      <w:r w:rsidRPr="00ED6007">
        <w:rPr>
          <w:rFonts w:ascii="Times New Roman" w:hAnsi="Times New Roman" w:cs="Times New Roman"/>
        </w:rPr>
        <w:t>Servizi di spazzamento stradale</w:t>
      </w:r>
      <w:r w:rsidR="00585202">
        <w:rPr>
          <w:rFonts w:ascii="Times New Roman" w:hAnsi="Times New Roman" w:cs="Times New Roman"/>
        </w:rPr>
        <w:t>;</w:t>
      </w:r>
    </w:p>
    <w:p w14:paraId="09B590A5" w14:textId="77777777" w:rsidR="00585202" w:rsidRDefault="00585202" w:rsidP="00585202">
      <w:pPr>
        <w:pStyle w:val="Paragrafoelenco"/>
        <w:numPr>
          <w:ilvl w:val="0"/>
          <w:numId w:val="27"/>
        </w:numPr>
        <w:rPr>
          <w:rFonts w:ascii="Times New Roman" w:hAnsi="Times New Roman" w:cs="Times New Roman"/>
        </w:rPr>
      </w:pPr>
      <w:r w:rsidRPr="00585202">
        <w:rPr>
          <w:rFonts w:ascii="Times New Roman" w:hAnsi="Times New Roman" w:cs="Times New Roman"/>
        </w:rPr>
        <w:t>Lavaggio contenitori</w:t>
      </w:r>
      <w:r>
        <w:rPr>
          <w:rFonts w:ascii="Times New Roman" w:hAnsi="Times New Roman" w:cs="Times New Roman"/>
        </w:rPr>
        <w:t>;</w:t>
      </w:r>
    </w:p>
    <w:p w14:paraId="1613FD60" w14:textId="43A3207C" w:rsidR="00585202" w:rsidRDefault="00585202" w:rsidP="00585202">
      <w:pPr>
        <w:pStyle w:val="Paragrafoelenco"/>
        <w:numPr>
          <w:ilvl w:val="0"/>
          <w:numId w:val="27"/>
        </w:numPr>
        <w:rPr>
          <w:rFonts w:ascii="Times New Roman" w:hAnsi="Times New Roman" w:cs="Times New Roman"/>
        </w:rPr>
      </w:pPr>
      <w:r w:rsidRPr="00585202">
        <w:rPr>
          <w:rFonts w:ascii="Times New Roman" w:hAnsi="Times New Roman" w:cs="Times New Roman"/>
        </w:rPr>
        <w:t>Gestione Centri di Raccolta</w:t>
      </w:r>
      <w:r w:rsidR="0004080E">
        <w:rPr>
          <w:rFonts w:ascii="Times New Roman" w:hAnsi="Times New Roman" w:cs="Times New Roman"/>
        </w:rPr>
        <w:t>;</w:t>
      </w:r>
    </w:p>
    <w:p w14:paraId="64221421" w14:textId="66DA7739" w:rsidR="0004080E" w:rsidRPr="00585202" w:rsidRDefault="0004080E" w:rsidP="00585202">
      <w:pPr>
        <w:pStyle w:val="Paragrafoelenco"/>
        <w:numPr>
          <w:ilvl w:val="0"/>
          <w:numId w:val="27"/>
        </w:numPr>
        <w:rPr>
          <w:rFonts w:ascii="Times New Roman" w:hAnsi="Times New Roman" w:cs="Times New Roman"/>
        </w:rPr>
      </w:pPr>
      <w:r>
        <w:rPr>
          <w:rFonts w:ascii="Times New Roman" w:hAnsi="Times New Roman" w:cs="Times New Roman"/>
        </w:rPr>
        <w:t xml:space="preserve">Campagne di Informazione e </w:t>
      </w:r>
      <w:proofErr w:type="spellStart"/>
      <w:r>
        <w:rPr>
          <w:rFonts w:ascii="Times New Roman" w:hAnsi="Times New Roman" w:cs="Times New Roman"/>
        </w:rPr>
        <w:t>Sensibiizzazione</w:t>
      </w:r>
      <w:proofErr w:type="spellEnd"/>
      <w:r>
        <w:rPr>
          <w:rFonts w:ascii="Times New Roman" w:hAnsi="Times New Roman" w:cs="Times New Roman"/>
        </w:rPr>
        <w:t>.</w:t>
      </w:r>
    </w:p>
    <w:p w14:paraId="7101AA08" w14:textId="540210C7" w:rsidR="001F5519" w:rsidRPr="00600379" w:rsidRDefault="001F5519" w:rsidP="00284B24">
      <w:pPr>
        <w:rPr>
          <w:rFonts w:ascii="Times New Roman" w:hAnsi="Times New Roman" w:cs="Times New Roman"/>
        </w:rPr>
      </w:pPr>
      <w:r w:rsidRPr="00600379">
        <w:rPr>
          <w:rFonts w:ascii="Times New Roman" w:hAnsi="Times New Roman" w:cs="Times New Roman"/>
        </w:rPr>
        <w:t>Per la descrizione dei servizi forniti e l’elenco dei medesimi si rimanda alla dettagliata relazione tecnica fornita in sede di offerta di gara e già disponibile all’Amministrazione Comunale</w:t>
      </w:r>
      <w:r w:rsidR="00585202">
        <w:rPr>
          <w:rFonts w:ascii="Times New Roman" w:hAnsi="Times New Roman" w:cs="Times New Roman"/>
        </w:rPr>
        <w:t>, al Progetto Guida e al Capitolato Speciale d’Appalto.</w:t>
      </w:r>
    </w:p>
    <w:p w14:paraId="077F7C6E" w14:textId="2AF83A04" w:rsidR="00AC4192" w:rsidRPr="001B592B" w:rsidRDefault="00AC4192" w:rsidP="00284B24">
      <w:pPr>
        <w:rPr>
          <w:rFonts w:ascii="Times New Roman" w:hAnsi="Times New Roman" w:cs="Times New Roman"/>
        </w:rPr>
      </w:pPr>
      <w:r w:rsidRPr="001B592B">
        <w:rPr>
          <w:rFonts w:ascii="Times New Roman" w:hAnsi="Times New Roman" w:cs="Times New Roman"/>
        </w:rPr>
        <w:t xml:space="preserve">Si fa presente che il servizio è iniziato presso il </w:t>
      </w:r>
      <w:r w:rsidR="008343E9" w:rsidRPr="001B592B">
        <w:rPr>
          <w:rFonts w:ascii="Times New Roman" w:hAnsi="Times New Roman" w:cs="Times New Roman"/>
        </w:rPr>
        <w:t xml:space="preserve">Comune di </w:t>
      </w:r>
      <w:r w:rsidR="0003062C">
        <w:rPr>
          <w:rFonts w:ascii="Times New Roman" w:hAnsi="Times New Roman" w:cs="Times New Roman"/>
        </w:rPr>
        <w:t>Oristano</w:t>
      </w:r>
      <w:r w:rsidR="008343E9" w:rsidRPr="001B592B">
        <w:rPr>
          <w:rFonts w:ascii="Times New Roman" w:hAnsi="Times New Roman" w:cs="Times New Roman"/>
        </w:rPr>
        <w:t xml:space="preserve"> </w:t>
      </w:r>
      <w:r w:rsidR="001D62DE" w:rsidRPr="001B592B">
        <w:rPr>
          <w:rFonts w:ascii="Times New Roman" w:hAnsi="Times New Roman" w:cs="Times New Roman"/>
        </w:rPr>
        <w:t>in data</w:t>
      </w:r>
      <w:r w:rsidR="008343E9" w:rsidRPr="001B592B">
        <w:rPr>
          <w:rFonts w:ascii="Times New Roman" w:hAnsi="Times New Roman" w:cs="Times New Roman"/>
        </w:rPr>
        <w:t xml:space="preserve"> 01/0</w:t>
      </w:r>
      <w:r w:rsidR="0003062C">
        <w:rPr>
          <w:rFonts w:ascii="Times New Roman" w:hAnsi="Times New Roman" w:cs="Times New Roman"/>
        </w:rPr>
        <w:t>5</w:t>
      </w:r>
      <w:r w:rsidR="008343E9" w:rsidRPr="001B592B">
        <w:rPr>
          <w:rFonts w:ascii="Times New Roman" w:hAnsi="Times New Roman" w:cs="Times New Roman"/>
        </w:rPr>
        <w:t>/20</w:t>
      </w:r>
      <w:r w:rsidR="0003062C">
        <w:rPr>
          <w:rFonts w:ascii="Times New Roman" w:hAnsi="Times New Roman" w:cs="Times New Roman"/>
        </w:rPr>
        <w:t>20</w:t>
      </w:r>
      <w:r w:rsidR="00ED6007">
        <w:rPr>
          <w:rFonts w:ascii="Times New Roman" w:hAnsi="Times New Roman" w:cs="Times New Roman"/>
        </w:rPr>
        <w:t>.</w:t>
      </w:r>
    </w:p>
    <w:p w14:paraId="67E4EF43" w14:textId="196E6E5F" w:rsidR="001F5519" w:rsidRDefault="001F5519" w:rsidP="00284B24">
      <w:pPr>
        <w:rPr>
          <w:rFonts w:ascii="Times New Roman" w:hAnsi="Times New Roman" w:cs="Times New Roman"/>
        </w:rPr>
      </w:pPr>
      <w:r w:rsidRPr="00975862">
        <w:rPr>
          <w:rFonts w:ascii="Times New Roman" w:hAnsi="Times New Roman" w:cs="Times New Roman"/>
        </w:rPr>
        <w:t>Di seguito in Tabella 1 si riporta</w:t>
      </w:r>
      <w:r w:rsidR="00C86996">
        <w:rPr>
          <w:rFonts w:ascii="Times New Roman" w:hAnsi="Times New Roman" w:cs="Times New Roman"/>
        </w:rPr>
        <w:t>no i quantitativi di rifiuti raccolti nell’anno 2020 suddivisi per codice EER e la</w:t>
      </w:r>
      <w:r w:rsidRPr="00975862">
        <w:rPr>
          <w:rFonts w:ascii="Times New Roman" w:hAnsi="Times New Roman" w:cs="Times New Roman"/>
        </w:rPr>
        <w:t xml:space="preserve"> percentuale di RD sul totale secondo quanto previsto dalla D.</w:t>
      </w:r>
      <w:r w:rsidR="00C262EF" w:rsidRPr="00975862">
        <w:rPr>
          <w:rFonts w:ascii="Times New Roman" w:hAnsi="Times New Roman" w:cs="Times New Roman"/>
        </w:rPr>
        <w:t>L</w:t>
      </w:r>
      <w:r w:rsidRPr="00975862">
        <w:rPr>
          <w:rFonts w:ascii="Times New Roman" w:hAnsi="Times New Roman" w:cs="Times New Roman"/>
        </w:rPr>
        <w:t xml:space="preserve">. </w:t>
      </w:r>
      <w:r w:rsidR="00C262EF" w:rsidRPr="00975862">
        <w:rPr>
          <w:rFonts w:ascii="Times New Roman" w:hAnsi="Times New Roman" w:cs="Times New Roman"/>
        </w:rPr>
        <w:t>26 magg</w:t>
      </w:r>
      <w:r w:rsidR="00284B24" w:rsidRPr="00975862">
        <w:rPr>
          <w:rFonts w:ascii="Times New Roman" w:hAnsi="Times New Roman" w:cs="Times New Roman"/>
        </w:rPr>
        <w:t>io 2016 del ministero dell’ambi</w:t>
      </w:r>
      <w:r w:rsidR="00C262EF" w:rsidRPr="00975862">
        <w:rPr>
          <w:rFonts w:ascii="Times New Roman" w:hAnsi="Times New Roman" w:cs="Times New Roman"/>
        </w:rPr>
        <w:t>e</w:t>
      </w:r>
      <w:r w:rsidR="00284B24" w:rsidRPr="00975862">
        <w:rPr>
          <w:rFonts w:ascii="Times New Roman" w:hAnsi="Times New Roman" w:cs="Times New Roman"/>
        </w:rPr>
        <w:t>n</w:t>
      </w:r>
      <w:r w:rsidR="00C262EF" w:rsidRPr="00975862">
        <w:rPr>
          <w:rFonts w:ascii="Times New Roman" w:hAnsi="Times New Roman" w:cs="Times New Roman"/>
        </w:rPr>
        <w:t>te.</w:t>
      </w:r>
    </w:p>
    <w:p w14:paraId="4D5471F5" w14:textId="19062F39" w:rsidR="00975862" w:rsidRDefault="00850385" w:rsidP="000B3287">
      <w:pPr>
        <w:jc w:val="center"/>
        <w:rPr>
          <w:rFonts w:ascii="Times New Roman" w:hAnsi="Times New Roman" w:cs="Times New Roman"/>
        </w:rPr>
      </w:pPr>
      <w:r w:rsidRPr="00850385">
        <w:drawing>
          <wp:inline distT="0" distB="0" distL="0" distR="0" wp14:anchorId="2572D457" wp14:editId="605E3438">
            <wp:extent cx="4933950" cy="6972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6972300"/>
                    </a:xfrm>
                    <a:prstGeom prst="rect">
                      <a:avLst/>
                    </a:prstGeom>
                    <a:noFill/>
                    <a:ln>
                      <a:noFill/>
                    </a:ln>
                  </pic:spPr>
                </pic:pic>
              </a:graphicData>
            </a:graphic>
          </wp:inline>
        </w:drawing>
      </w:r>
    </w:p>
    <w:p w14:paraId="7C4411B9" w14:textId="1D4E603F" w:rsidR="00975862" w:rsidRPr="00600379" w:rsidRDefault="00975862" w:rsidP="00EB3D31">
      <w:pPr>
        <w:rPr>
          <w:rFonts w:ascii="Times New Roman" w:hAnsi="Times New Roman" w:cs="Times New Roman"/>
        </w:rPr>
      </w:pPr>
      <w:r>
        <w:rPr>
          <w:rFonts w:ascii="Times New Roman" w:hAnsi="Times New Roman" w:cs="Times New Roman"/>
        </w:rPr>
        <w:t xml:space="preserve">La percentuale di raccolta differenziata </w:t>
      </w:r>
      <w:r w:rsidR="00F24DAC">
        <w:rPr>
          <w:rFonts w:ascii="Times New Roman" w:hAnsi="Times New Roman" w:cs="Times New Roman"/>
        </w:rPr>
        <w:t>nell’ann</w:t>
      </w:r>
      <w:r w:rsidR="00E143F7">
        <w:rPr>
          <w:rFonts w:ascii="Times New Roman" w:hAnsi="Times New Roman" w:cs="Times New Roman"/>
        </w:rPr>
        <w:t>o</w:t>
      </w:r>
      <w:r w:rsidR="00F24DAC">
        <w:rPr>
          <w:rFonts w:ascii="Times New Roman" w:hAnsi="Times New Roman" w:cs="Times New Roman"/>
        </w:rPr>
        <w:t xml:space="preserve"> 20</w:t>
      </w:r>
      <w:r w:rsidR="00906BF0">
        <w:rPr>
          <w:rFonts w:ascii="Times New Roman" w:hAnsi="Times New Roman" w:cs="Times New Roman"/>
        </w:rPr>
        <w:t>20</w:t>
      </w:r>
      <w:r w:rsidR="00F24DAC">
        <w:rPr>
          <w:rFonts w:ascii="Times New Roman" w:hAnsi="Times New Roman" w:cs="Times New Roman"/>
        </w:rPr>
        <w:t xml:space="preserve"> </w:t>
      </w:r>
      <w:r>
        <w:rPr>
          <w:rFonts w:ascii="Times New Roman" w:hAnsi="Times New Roman" w:cs="Times New Roman"/>
        </w:rPr>
        <w:t xml:space="preserve">calcolata secondo il D.M. 23/05/2016 è stata </w:t>
      </w:r>
      <w:r w:rsidR="00850385">
        <w:rPr>
          <w:rFonts w:ascii="Times New Roman" w:hAnsi="Times New Roman" w:cs="Times New Roman"/>
        </w:rPr>
        <w:t xml:space="preserve">del </w:t>
      </w:r>
      <w:r w:rsidRPr="00975862">
        <w:rPr>
          <w:rFonts w:ascii="Times New Roman" w:hAnsi="Times New Roman" w:cs="Times New Roman"/>
          <w:b/>
          <w:bCs/>
        </w:rPr>
        <w:t>78,</w:t>
      </w:r>
      <w:r w:rsidR="00850385">
        <w:rPr>
          <w:rFonts w:ascii="Times New Roman" w:hAnsi="Times New Roman" w:cs="Times New Roman"/>
          <w:b/>
          <w:bCs/>
        </w:rPr>
        <w:t>39</w:t>
      </w:r>
      <w:r w:rsidRPr="00975862">
        <w:rPr>
          <w:rFonts w:ascii="Times New Roman" w:hAnsi="Times New Roman" w:cs="Times New Roman"/>
          <w:b/>
          <w:bCs/>
        </w:rPr>
        <w:t xml:space="preserve"> %</w:t>
      </w:r>
      <w:r>
        <w:rPr>
          <w:rFonts w:ascii="Times New Roman" w:hAnsi="Times New Roman" w:cs="Times New Roman"/>
        </w:rPr>
        <w:t>.</w:t>
      </w:r>
    </w:p>
    <w:p w14:paraId="60A95FFA" w14:textId="2DC4FA5F" w:rsidR="00BA3391" w:rsidRPr="00600379" w:rsidRDefault="00BA3391" w:rsidP="001F5519">
      <w:pPr>
        <w:autoSpaceDE w:val="0"/>
        <w:autoSpaceDN w:val="0"/>
        <w:adjustRightInd w:val="0"/>
        <w:spacing w:after="0"/>
        <w:ind w:firstLine="709"/>
        <w:jc w:val="center"/>
        <w:rPr>
          <w:rFonts w:ascii="Times New Roman" w:hAnsi="Times New Roman" w:cs="Times New Roman"/>
        </w:rPr>
      </w:pPr>
    </w:p>
    <w:p w14:paraId="78C5DB9C" w14:textId="77777777" w:rsidR="00BA3391" w:rsidRPr="00600379" w:rsidRDefault="00BA3391">
      <w:pPr>
        <w:spacing w:line="276" w:lineRule="auto"/>
        <w:jc w:val="left"/>
        <w:rPr>
          <w:rFonts w:ascii="Times New Roman" w:hAnsi="Times New Roman" w:cs="Times New Roman"/>
        </w:rPr>
      </w:pPr>
      <w:r w:rsidRPr="00600379">
        <w:rPr>
          <w:rFonts w:ascii="Times New Roman" w:hAnsi="Times New Roman" w:cs="Times New Roman"/>
        </w:rPr>
        <w:br w:type="page"/>
      </w:r>
    </w:p>
    <w:p w14:paraId="050EC223" w14:textId="6DD09D40" w:rsidR="001270AC" w:rsidRPr="00600379" w:rsidRDefault="001F5519" w:rsidP="0056501F">
      <w:pPr>
        <w:pStyle w:val="Titolo1"/>
        <w:rPr>
          <w:rFonts w:ascii="Times New Roman" w:hAnsi="Times New Roman" w:cs="Times New Roman"/>
        </w:rPr>
      </w:pPr>
      <w:bookmarkStart w:id="19" w:name="_Toc32586044"/>
      <w:bookmarkStart w:id="20" w:name="_Toc71740620"/>
      <w:r w:rsidRPr="00600379">
        <w:rPr>
          <w:rFonts w:ascii="Times New Roman" w:hAnsi="Times New Roman" w:cs="Times New Roman"/>
        </w:rPr>
        <w:t>PIANO FINANZIARIO 202</w:t>
      </w:r>
      <w:bookmarkEnd w:id="19"/>
      <w:r w:rsidR="0086044F">
        <w:rPr>
          <w:rFonts w:ascii="Times New Roman" w:hAnsi="Times New Roman" w:cs="Times New Roman"/>
        </w:rPr>
        <w:t>1</w:t>
      </w:r>
      <w:bookmarkEnd w:id="20"/>
    </w:p>
    <w:p w14:paraId="6DDF54DD" w14:textId="77777777" w:rsidR="001270AC" w:rsidRPr="00600379" w:rsidRDefault="001270AC" w:rsidP="001270AC">
      <w:pPr>
        <w:pStyle w:val="Titolo1"/>
        <w:numPr>
          <w:ilvl w:val="0"/>
          <w:numId w:val="0"/>
        </w:numPr>
        <w:ind w:left="432" w:hanging="432"/>
        <w:rPr>
          <w:rFonts w:ascii="Times New Roman" w:hAnsi="Times New Roman" w:cs="Times New Roman"/>
        </w:rPr>
      </w:pPr>
    </w:p>
    <w:p w14:paraId="1CA58226" w14:textId="2C82931D" w:rsidR="001F5519" w:rsidRPr="00600379" w:rsidRDefault="004E1049" w:rsidP="00284B24">
      <w:pPr>
        <w:rPr>
          <w:rFonts w:ascii="Times New Roman" w:hAnsi="Times New Roman" w:cs="Times New Roman"/>
        </w:rPr>
      </w:pPr>
      <w:r w:rsidRPr="00975862">
        <w:rPr>
          <w:rFonts w:ascii="Times New Roman" w:hAnsi="Times New Roman" w:cs="Times New Roman"/>
        </w:rPr>
        <w:t>Il PEF 202</w:t>
      </w:r>
      <w:r w:rsidR="0086044F">
        <w:rPr>
          <w:rFonts w:ascii="Times New Roman" w:hAnsi="Times New Roman" w:cs="Times New Roman"/>
        </w:rPr>
        <w:t>1</w:t>
      </w:r>
      <w:r w:rsidRPr="00975862">
        <w:rPr>
          <w:rFonts w:ascii="Times New Roman" w:hAnsi="Times New Roman" w:cs="Times New Roman"/>
        </w:rPr>
        <w:t xml:space="preserve"> </w:t>
      </w:r>
      <w:r w:rsidR="001F5519" w:rsidRPr="00975862">
        <w:rPr>
          <w:rFonts w:ascii="Times New Roman" w:hAnsi="Times New Roman" w:cs="Times New Roman"/>
        </w:rPr>
        <w:t>è redatto in base alla Delibera</w:t>
      </w:r>
      <w:r w:rsidR="00EF3263" w:rsidRPr="00975862">
        <w:rPr>
          <w:rFonts w:ascii="Times New Roman" w:hAnsi="Times New Roman" w:cs="Times New Roman"/>
        </w:rPr>
        <w:t>zione</w:t>
      </w:r>
      <w:r w:rsidR="001F5519" w:rsidRPr="00975862">
        <w:rPr>
          <w:rFonts w:ascii="Times New Roman" w:hAnsi="Times New Roman" w:cs="Times New Roman"/>
        </w:rPr>
        <w:t xml:space="preserve"> ARERA 31 ottobre 2019, n. 443</w:t>
      </w:r>
      <w:r w:rsidR="00EF3263" w:rsidRPr="00975862">
        <w:rPr>
          <w:rFonts w:ascii="Times New Roman" w:hAnsi="Times New Roman" w:cs="Times New Roman"/>
        </w:rPr>
        <w:t xml:space="preserve"> e alla Determinazione n. 2/DRIF/2020 </w:t>
      </w:r>
      <w:r w:rsidR="001F5519" w:rsidRPr="00975862">
        <w:rPr>
          <w:rFonts w:ascii="Times New Roman" w:hAnsi="Times New Roman" w:cs="Times New Roman"/>
        </w:rPr>
        <w:t>e fa riferimento:</w:t>
      </w:r>
    </w:p>
    <w:p w14:paraId="147E9B16" w14:textId="5F6D9A47" w:rsidR="001F5519" w:rsidRPr="00600379" w:rsidRDefault="001F5519" w:rsidP="00284B24">
      <w:pPr>
        <w:pStyle w:val="Paragrafoelenco"/>
        <w:numPr>
          <w:ilvl w:val="0"/>
          <w:numId w:val="25"/>
        </w:numPr>
        <w:rPr>
          <w:rFonts w:ascii="Times New Roman" w:hAnsi="Times New Roman" w:cs="Times New Roman"/>
        </w:rPr>
      </w:pPr>
      <w:proofErr w:type="gramStart"/>
      <w:r w:rsidRPr="00600379">
        <w:rPr>
          <w:rFonts w:ascii="Times New Roman" w:hAnsi="Times New Roman" w:cs="Times New Roman"/>
        </w:rPr>
        <w:t>allo</w:t>
      </w:r>
      <w:proofErr w:type="gramEnd"/>
      <w:r w:rsidRPr="00600379">
        <w:rPr>
          <w:rFonts w:ascii="Times New Roman" w:hAnsi="Times New Roman" w:cs="Times New Roman"/>
        </w:rPr>
        <w:t xml:space="preserve"> specifico layout di risultato “443-2019-R-rif Appendice 1-Schema tipo PEF</w:t>
      </w:r>
      <w:r w:rsidR="0086044F">
        <w:rPr>
          <w:rFonts w:ascii="Times New Roman" w:hAnsi="Times New Roman" w:cs="Times New Roman"/>
        </w:rPr>
        <w:t xml:space="preserve"> – </w:t>
      </w:r>
      <w:r w:rsidR="0086044F" w:rsidRPr="0086044F">
        <w:rPr>
          <w:rFonts w:ascii="Times New Roman" w:hAnsi="Times New Roman" w:cs="Times New Roman"/>
          <w:b/>
        </w:rPr>
        <w:t>aggiornamento 24/11/2020</w:t>
      </w:r>
      <w:r w:rsidRPr="00600379">
        <w:rPr>
          <w:rFonts w:ascii="Times New Roman" w:hAnsi="Times New Roman" w:cs="Times New Roman"/>
        </w:rPr>
        <w:t>” utilizzato di seguito nel testo al fine di rappresentare i dati economici, con particolare riferimento alla TARIFFA parte FISSA e parte VARIABILE, con la distinzione tra ciclo integrato e costi del Comune;</w:t>
      </w:r>
    </w:p>
    <w:p w14:paraId="58106612" w14:textId="77777777" w:rsidR="001F5519" w:rsidRPr="00600379" w:rsidRDefault="001F5519" w:rsidP="00284B24">
      <w:pPr>
        <w:pStyle w:val="Paragrafoelenco"/>
        <w:numPr>
          <w:ilvl w:val="0"/>
          <w:numId w:val="25"/>
        </w:numPr>
        <w:rPr>
          <w:rFonts w:ascii="Times New Roman" w:hAnsi="Times New Roman" w:cs="Times New Roman"/>
        </w:rPr>
      </w:pPr>
      <w:proofErr w:type="gramStart"/>
      <w:r w:rsidRPr="00600379">
        <w:rPr>
          <w:rFonts w:ascii="Times New Roman" w:hAnsi="Times New Roman" w:cs="Times New Roman"/>
        </w:rPr>
        <w:t>alla</w:t>
      </w:r>
      <w:proofErr w:type="gramEnd"/>
      <w:r w:rsidRPr="00600379">
        <w:rPr>
          <w:rFonts w:ascii="Times New Roman" w:hAnsi="Times New Roman" w:cs="Times New Roman"/>
        </w:rPr>
        <w:t xml:space="preserve"> presente relazione che si attiene allo “443-2019-R-rif Appendice 2” che ne rappresenta lo schema tipo;</w:t>
      </w:r>
    </w:p>
    <w:p w14:paraId="08289A88" w14:textId="77777777" w:rsidR="001F5519" w:rsidRPr="00600379" w:rsidRDefault="001F5519" w:rsidP="00284B24">
      <w:pPr>
        <w:pStyle w:val="Paragrafoelenco"/>
        <w:numPr>
          <w:ilvl w:val="0"/>
          <w:numId w:val="25"/>
        </w:numPr>
        <w:rPr>
          <w:rFonts w:ascii="Times New Roman" w:hAnsi="Times New Roman" w:cs="Times New Roman"/>
        </w:rPr>
      </w:pPr>
      <w:r w:rsidRPr="00600379">
        <w:rPr>
          <w:rFonts w:ascii="Times New Roman" w:hAnsi="Times New Roman" w:cs="Times New Roman"/>
        </w:rPr>
        <w:t>all’Allegato A Delibera 443-19, METODO TARIFFARIO SERVIZIO INTEGRATO DI GESTIONE DEI RIFIUTI 2018-2021 indicato in seguito come MTR.</w:t>
      </w:r>
    </w:p>
    <w:p w14:paraId="369BC962" w14:textId="77777777" w:rsidR="0086044F" w:rsidRDefault="0086044F" w:rsidP="001F5519">
      <w:pPr>
        <w:autoSpaceDE w:val="0"/>
        <w:autoSpaceDN w:val="0"/>
        <w:adjustRightInd w:val="0"/>
        <w:ind w:firstLine="709"/>
        <w:rPr>
          <w:rFonts w:ascii="Times New Roman" w:hAnsi="Times New Roman" w:cs="Times New Roman"/>
        </w:rPr>
      </w:pPr>
    </w:p>
    <w:p w14:paraId="279B33D1" w14:textId="77777777" w:rsidR="001F5519" w:rsidRPr="00600379" w:rsidRDefault="001F5519" w:rsidP="001F5519">
      <w:pPr>
        <w:autoSpaceDE w:val="0"/>
        <w:autoSpaceDN w:val="0"/>
        <w:adjustRightInd w:val="0"/>
        <w:ind w:firstLine="709"/>
        <w:rPr>
          <w:rFonts w:ascii="Times New Roman" w:hAnsi="Times New Roman" w:cs="Times New Roman"/>
        </w:rPr>
      </w:pPr>
      <w:r w:rsidRPr="00600379">
        <w:rPr>
          <w:rFonts w:ascii="Times New Roman" w:hAnsi="Times New Roman" w:cs="Times New Roman"/>
        </w:rPr>
        <w:t>Seguendo il MTR si definisce:</w:t>
      </w:r>
    </w:p>
    <w:p w14:paraId="081FA7E7" w14:textId="77777777" w:rsidR="001F5519" w:rsidRPr="0086044F" w:rsidRDefault="0043623A" w:rsidP="001F5519">
      <w:pPr>
        <w:autoSpaceDE w:val="0"/>
        <w:autoSpaceDN w:val="0"/>
        <w:adjustRightInd w:val="0"/>
        <w:ind w:firstLine="709"/>
        <w:rPr>
          <w:rFonts w:ascii="Times New Roman" w:hAnsi="Times New Roman" w:cs="Times New Roman"/>
        </w:rPr>
      </w:pPr>
      <m:oMathPara>
        <m:oMathParaPr>
          <m:jc m:val="center"/>
        </m:oMathParaPr>
        <m:oMath>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a</m:t>
                  </m:r>
                </m:sub>
              </m:sSub>
            </m:e>
          </m:nary>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a</m:t>
                  </m:r>
                </m:sub>
              </m:sSub>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TF</m:t>
                      </m:r>
                    </m:e>
                    <m:sub>
                      <m:r>
                        <w:rPr>
                          <w:rFonts w:ascii="Cambria Math" w:hAnsi="Cambria Math" w:cs="Times New Roman"/>
                        </w:rPr>
                        <m:t>a</m:t>
                      </m:r>
                    </m:sub>
                  </m:sSub>
                </m:e>
              </m:nary>
            </m:e>
          </m:nary>
        </m:oMath>
      </m:oMathPara>
    </w:p>
    <w:p w14:paraId="41790DA1" w14:textId="2D012B44" w:rsidR="001F5519" w:rsidRPr="00600379" w:rsidRDefault="0086044F" w:rsidP="001F5519">
      <w:pPr>
        <w:pStyle w:val="Paragrafoelenco"/>
        <w:numPr>
          <w:ilvl w:val="0"/>
          <w:numId w:val="14"/>
        </w:numPr>
        <w:autoSpaceDE w:val="0"/>
        <w:autoSpaceDN w:val="0"/>
        <w:adjustRightInd w:val="0"/>
        <w:jc w:val="left"/>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 anno 2021</w:t>
      </w:r>
    </w:p>
    <w:p w14:paraId="5C0CA29E" w14:textId="77777777" w:rsidR="001F5519" w:rsidRPr="00600379" w:rsidRDefault="0043623A" w:rsidP="001F5519">
      <w:pPr>
        <w:pStyle w:val="Paragrafoelenco"/>
        <w:numPr>
          <w:ilvl w:val="0"/>
          <w:numId w:val="14"/>
        </w:numPr>
        <w:autoSpaceDE w:val="0"/>
        <w:autoSpaceDN w:val="0"/>
        <w:adjustRightInd w:val="0"/>
        <w:jc w:val="left"/>
        <w:rPr>
          <w:rFonts w:ascii="Times New Roman" w:hAnsi="Times New Roman" w:cs="Times New Roman"/>
        </w:rPr>
      </w:pPr>
      <m:oMath>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a</m:t>
                </m:r>
              </m:sub>
            </m:sSub>
          </m:e>
        </m:nary>
      </m:oMath>
      <w:r w:rsidR="001F5519" w:rsidRPr="00600379">
        <w:rPr>
          <w:rFonts w:ascii="Times New Roman" w:hAnsi="Times New Roman" w:cs="Times New Roman"/>
        </w:rPr>
        <w:t xml:space="preserve"> = totale entrate tariffarie di riferimento per il servizio integrato di gestione dei RU</w:t>
      </w:r>
    </w:p>
    <w:p w14:paraId="6BC76C06" w14:textId="77777777" w:rsidR="001F5519" w:rsidRPr="00600379" w:rsidRDefault="0043623A" w:rsidP="001F5519">
      <w:pPr>
        <w:pStyle w:val="Paragrafoelenco"/>
        <w:numPr>
          <w:ilvl w:val="0"/>
          <w:numId w:val="14"/>
        </w:numPr>
        <w:autoSpaceDE w:val="0"/>
        <w:autoSpaceDN w:val="0"/>
        <w:adjustRightInd w:val="0"/>
        <w:jc w:val="left"/>
        <w:rPr>
          <w:rFonts w:ascii="Times New Roman" w:hAnsi="Times New Roman" w:cs="Times New Roman"/>
        </w:rPr>
      </w:pPr>
      <m:oMath>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a</m:t>
                </m:r>
              </m:sub>
            </m:sSub>
          </m:e>
        </m:nary>
      </m:oMath>
      <w:r w:rsidR="001F5519" w:rsidRPr="00600379">
        <w:rPr>
          <w:rFonts w:ascii="Times New Roman" w:hAnsi="Times New Roman" w:cs="Times New Roman"/>
        </w:rPr>
        <w:t>= entrate tariffarie relative alle componenti di costo variabile</w:t>
      </w:r>
    </w:p>
    <w:p w14:paraId="5C882035" w14:textId="77777777" w:rsidR="001F5519" w:rsidRPr="00600379" w:rsidRDefault="0043623A" w:rsidP="001F5519">
      <w:pPr>
        <w:pStyle w:val="Paragrafoelenco"/>
        <w:numPr>
          <w:ilvl w:val="0"/>
          <w:numId w:val="14"/>
        </w:numPr>
        <w:autoSpaceDE w:val="0"/>
        <w:autoSpaceDN w:val="0"/>
        <w:adjustRightInd w:val="0"/>
        <w:jc w:val="left"/>
        <w:rPr>
          <w:rFonts w:ascii="Times New Roman" w:hAnsi="Times New Roman" w:cs="Times New Roman"/>
        </w:rPr>
      </w:pPr>
      <m:oMath>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TF</m:t>
                </m:r>
              </m:e>
              <m:sub>
                <m:r>
                  <w:rPr>
                    <w:rFonts w:ascii="Cambria Math" w:hAnsi="Cambria Math" w:cs="Times New Roman"/>
                  </w:rPr>
                  <m:t>a</m:t>
                </m:r>
              </m:sub>
            </m:sSub>
          </m:e>
        </m:nary>
      </m:oMath>
      <w:r w:rsidR="001F5519" w:rsidRPr="00600379">
        <w:rPr>
          <w:rFonts w:ascii="Times New Roman" w:hAnsi="Times New Roman" w:cs="Times New Roman"/>
        </w:rPr>
        <w:t xml:space="preserve"> = entrate tariffarie relative alle componenti di costo fisso</w:t>
      </w:r>
    </w:p>
    <w:p w14:paraId="6D487F2C" w14:textId="77777777" w:rsidR="001F5519" w:rsidRPr="00600379" w:rsidRDefault="001F5519" w:rsidP="001F5519">
      <w:pPr>
        <w:autoSpaceDE w:val="0"/>
        <w:autoSpaceDN w:val="0"/>
        <w:adjustRightInd w:val="0"/>
        <w:ind w:firstLine="709"/>
        <w:rPr>
          <w:rFonts w:ascii="Times New Roman" w:hAnsi="Times New Roman" w:cs="Times New Roman"/>
        </w:rPr>
      </w:pPr>
    </w:p>
    <w:p w14:paraId="1143A6BC" w14:textId="77777777" w:rsidR="001F5519" w:rsidRPr="0086044F" w:rsidRDefault="0043623A" w:rsidP="001F5519">
      <w:pPr>
        <w:autoSpaceDE w:val="0"/>
        <w:autoSpaceDN w:val="0"/>
        <w:adjustRightInd w:val="0"/>
        <w:ind w:firstLine="709"/>
        <w:rPr>
          <w:rFonts w:ascii="Times New Roman" w:hAnsi="Times New Roman" w:cs="Times New Roman"/>
        </w:rPr>
      </w:pPr>
      <m:oMathPara>
        <m:oMathParaPr>
          <m:jc m:val="center"/>
        </m:oMathParaPr>
        <m:oMath>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a</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CRT</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CTS</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CTR</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CRD</m:t>
              </m:r>
            </m:e>
            <m:sub>
              <m:r>
                <w:rPr>
                  <w:rFonts w:ascii="Cambria Math" w:hAnsi="Cambria Math" w:cs="Times New Roman"/>
                </w:rPr>
                <m:t>a</m:t>
              </m:r>
            </m:sub>
          </m:sSub>
          <m:r>
            <w:rPr>
              <w:rFonts w:ascii="Cambria Math" w:hAnsi="Cambria Math" w:cs="Times New Roman"/>
            </w:rPr>
            <m:t>-b</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a</m:t>
                  </m:r>
                </m:sub>
              </m:sSub>
            </m:e>
          </m:d>
          <m:r>
            <w:rPr>
              <w:rFonts w:ascii="Cambria Math" w:hAnsi="Cambria Math" w:cs="Times New Roman"/>
            </w:rPr>
            <m:t>-b</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a</m:t>
                  </m:r>
                </m:sub>
              </m:sSub>
            </m:e>
          </m:d>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CONAI,a</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a</m:t>
                  </m:r>
                </m:sub>
              </m:sSub>
            </m:e>
          </m:d>
          <m:sSub>
            <m:sSubPr>
              <m:ctrlPr>
                <w:rPr>
                  <w:rFonts w:ascii="Cambria Math" w:hAnsi="Cambria Math" w:cs="Times New Roman"/>
                  <w:i/>
                </w:rPr>
              </m:ctrlPr>
            </m:sSubPr>
            <m:e>
              <m:r>
                <w:rPr>
                  <w:rFonts w:ascii="Cambria Math" w:hAnsi="Cambria Math" w:cs="Times New Roman"/>
                </w:rPr>
                <m:t>RC</m:t>
              </m:r>
            </m:e>
            <m:sub>
              <m:r>
                <w:rPr>
                  <w:rFonts w:ascii="Cambria Math" w:hAnsi="Cambria Math" w:cs="Times New Roman"/>
                </w:rPr>
                <m:t>TV,a</m:t>
              </m:r>
            </m:sub>
          </m:sSub>
          <m:r>
            <w:rPr>
              <w:rFonts w:ascii="Cambria Math" w:hAnsi="Cambria Math" w:cs="Times New Roman"/>
            </w:rPr>
            <m:t>/r</m:t>
          </m:r>
        </m:oMath>
      </m:oMathPara>
    </w:p>
    <w:p w14:paraId="6B603590" w14:textId="77777777" w:rsidR="001F5519" w:rsidRPr="00600379" w:rsidRDefault="001F5519" w:rsidP="001F5519">
      <w:pPr>
        <w:autoSpaceDE w:val="0"/>
        <w:autoSpaceDN w:val="0"/>
        <w:adjustRightInd w:val="0"/>
        <w:spacing w:after="0"/>
        <w:rPr>
          <w:rFonts w:ascii="Times New Roman" w:hAnsi="Times New Roman" w:cs="Times New Roman"/>
        </w:rPr>
      </w:pPr>
      <w:r w:rsidRPr="00600379">
        <w:rPr>
          <w:rFonts w:ascii="Times New Roman" w:hAnsi="Times New Roman" w:cs="Times New Roman"/>
        </w:rPr>
        <w:t>Dove:</w:t>
      </w:r>
    </w:p>
    <w:p w14:paraId="64F3C926" w14:textId="77777777" w:rsidR="001F5519" w:rsidRPr="00600379" w:rsidRDefault="0043623A" w:rsidP="001F5519">
      <w:pPr>
        <w:pStyle w:val="Paragrafoelenco"/>
        <w:numPr>
          <w:ilvl w:val="0"/>
          <w:numId w:val="15"/>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CRT</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è</w:t>
      </w:r>
      <w:proofErr w:type="gramEnd"/>
      <w:r w:rsidR="001F5519" w:rsidRPr="00600379">
        <w:rPr>
          <w:rFonts w:ascii="Times New Roman" w:hAnsi="Times New Roman" w:cs="Times New Roman"/>
        </w:rPr>
        <w:t xml:space="preserve"> la componente a copertura dei costi dell’attività di raccolta e trasporto dei RU indifferenziati</w:t>
      </w:r>
    </w:p>
    <w:p w14:paraId="7778B01C" w14:textId="77777777" w:rsidR="001F5519" w:rsidRPr="00600379" w:rsidRDefault="0043623A" w:rsidP="001F5519">
      <w:pPr>
        <w:pStyle w:val="Paragrafoelenco"/>
        <w:numPr>
          <w:ilvl w:val="0"/>
          <w:numId w:val="15"/>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CTS</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è</w:t>
      </w:r>
      <w:proofErr w:type="gramEnd"/>
      <w:r w:rsidR="001F5519" w:rsidRPr="00600379">
        <w:rPr>
          <w:rFonts w:ascii="Times New Roman" w:hAnsi="Times New Roman" w:cs="Times New Roman"/>
        </w:rPr>
        <w:t xml:space="preserve"> la componente a copertura dei costi dell’attività di trattamento e smaltimento dei RU</w:t>
      </w:r>
    </w:p>
    <w:p w14:paraId="6C09254B" w14:textId="77777777" w:rsidR="001F5519" w:rsidRPr="00600379" w:rsidRDefault="0043623A" w:rsidP="001F5519">
      <w:pPr>
        <w:pStyle w:val="Paragrafoelenco"/>
        <w:numPr>
          <w:ilvl w:val="0"/>
          <w:numId w:val="15"/>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CTR</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è</w:t>
      </w:r>
      <w:proofErr w:type="gramEnd"/>
      <w:r w:rsidR="001F5519" w:rsidRPr="00600379">
        <w:rPr>
          <w:rFonts w:ascii="Times New Roman" w:hAnsi="Times New Roman" w:cs="Times New Roman"/>
        </w:rPr>
        <w:t xml:space="preserve"> la componente a copertura dei costi dell’attività di trattamento e recupero dei RU</w:t>
      </w:r>
    </w:p>
    <w:p w14:paraId="35E8A9A7" w14:textId="77777777" w:rsidR="001F5519" w:rsidRPr="00600379" w:rsidRDefault="0043623A" w:rsidP="001F5519">
      <w:pPr>
        <w:pStyle w:val="Paragrafoelenco"/>
        <w:numPr>
          <w:ilvl w:val="0"/>
          <w:numId w:val="15"/>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CRD</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è</w:t>
      </w:r>
      <w:proofErr w:type="gramEnd"/>
      <w:r w:rsidR="001F5519" w:rsidRPr="00600379">
        <w:rPr>
          <w:rFonts w:ascii="Times New Roman" w:hAnsi="Times New Roman" w:cs="Times New Roman"/>
        </w:rPr>
        <w:t xml:space="preserve"> la componente a copertura dei costi dell’attività di raccolta e trasporto delle frazioni differenziate</w:t>
      </w:r>
    </w:p>
    <w:p w14:paraId="39C14BCD" w14:textId="78AF6BC9" w:rsidR="001F5519" w:rsidRPr="00600379" w:rsidRDefault="001F5519" w:rsidP="001F5519">
      <w:pPr>
        <w:pStyle w:val="Paragrafoelenco"/>
        <w:numPr>
          <w:ilvl w:val="0"/>
          <w:numId w:val="15"/>
        </w:numPr>
        <w:autoSpaceDE w:val="0"/>
        <w:autoSpaceDN w:val="0"/>
        <w:adjustRightInd w:val="0"/>
        <w:rPr>
          <w:rFonts w:ascii="Times New Roman" w:hAnsi="Times New Roman" w:cs="Times New Roman"/>
        </w:rPr>
      </w:pPr>
      <m:oMath>
        <m:r>
          <w:rPr>
            <w:rFonts w:ascii="Cambria Math" w:hAnsi="Cambria Math" w:cs="Times New Roman"/>
          </w:rPr>
          <m:t>-b</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a</m:t>
                </m:r>
              </m:sub>
            </m:sSub>
          </m:e>
        </m:d>
      </m:oMath>
      <w:r w:rsidRPr="00600379">
        <w:rPr>
          <w:rFonts w:ascii="Times New Roman" w:hAnsi="Times New Roman" w:cs="Times New Roman"/>
        </w:rPr>
        <w:t xml:space="preserve"> </w:t>
      </w:r>
      <w:proofErr w:type="gramStart"/>
      <w:r w:rsidRPr="00600379">
        <w:rPr>
          <w:rFonts w:ascii="Times New Roman" w:hAnsi="Times New Roman" w:cs="Times New Roman"/>
        </w:rPr>
        <w:t>dove</w:t>
      </w:r>
      <w:proofErr w:type="gramEnd"/>
      <w:r w:rsidRPr="00600379">
        <w:rPr>
          <w:rFonts w:ascii="Times New Roman" w:hAnsi="Times New Roman" w:cs="Times New Roman"/>
        </w:rPr>
        <w:t xml:space="preserve"> b è il fattor di </w:t>
      </w:r>
      <w:r w:rsidRPr="00600379">
        <w:rPr>
          <w:rFonts w:ascii="Times New Roman" w:hAnsi="Times New Roman" w:cs="Times New Roman"/>
          <w:i/>
        </w:rPr>
        <w:t>sharing</w:t>
      </w:r>
      <w:r w:rsidRPr="00600379">
        <w:rPr>
          <w:rFonts w:ascii="Times New Roman" w:hAnsi="Times New Roman" w:cs="Times New Roman"/>
        </w:rPr>
        <w:t xml:space="preserve"> dei proventi mentre AR è la somma dei proventi della vendita di materiale derivante dai rifiuti e dai ricavi commerciali riconducibili ad altri servizi effettuati con risorse del servizio del ciclo integrato</w:t>
      </w:r>
    </w:p>
    <w:p w14:paraId="4785D309" w14:textId="7CC6E844" w:rsidR="001F5519" w:rsidRPr="00600379" w:rsidRDefault="001F5519" w:rsidP="001F5519">
      <w:pPr>
        <w:pStyle w:val="Paragrafoelenco"/>
        <w:numPr>
          <w:ilvl w:val="0"/>
          <w:numId w:val="15"/>
        </w:numPr>
        <w:autoSpaceDE w:val="0"/>
        <w:autoSpaceDN w:val="0"/>
        <w:adjustRightInd w:val="0"/>
        <w:rPr>
          <w:rFonts w:ascii="Times New Roman" w:hAnsi="Times New Roman" w:cs="Times New Roman"/>
        </w:rPr>
      </w:pPr>
      <w:r w:rsidRPr="00600379">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a</m:t>
                </m:r>
              </m:sub>
            </m:sSub>
          </m:e>
        </m:d>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CONAI,a</m:t>
            </m:r>
          </m:sub>
        </m:sSub>
      </m:oMath>
      <w:r w:rsidRPr="00600379">
        <w:rPr>
          <w:rFonts w:ascii="Times New Roman" w:hAnsi="Times New Roman" w:cs="Times New Roman"/>
        </w:rPr>
        <w:t xml:space="preserve"> </w:t>
      </w:r>
      <w:proofErr w:type="gramStart"/>
      <w:r w:rsidRPr="00600379">
        <w:rPr>
          <w:rFonts w:ascii="Times New Roman" w:hAnsi="Times New Roman" w:cs="Times New Roman"/>
        </w:rPr>
        <w:t xml:space="preserve">dove </w:t>
      </w:r>
      <m:oMath>
        <m:sSub>
          <m:sSubPr>
            <m:ctrlPr>
              <w:rPr>
                <w:rFonts w:ascii="Cambria Math" w:hAnsi="Cambria Math" w:cs="Times New Roman"/>
                <w:i/>
              </w:rPr>
            </m:ctrlPr>
          </m:sSubPr>
          <m:e>
            <m:r>
              <w:rPr>
                <w:rFonts w:ascii="Cambria Math" w:hAnsi="Cambria Math" w:cs="Times New Roman"/>
              </w:rPr>
              <m:t>AR</m:t>
            </m:r>
          </m:e>
          <m:sub>
            <m:r>
              <w:rPr>
                <w:rFonts w:ascii="Cambria Math" w:hAnsi="Cambria Math" w:cs="Times New Roman"/>
              </w:rPr>
              <m:t>CONAI,a</m:t>
            </m:r>
          </m:sub>
        </m:sSub>
      </m:oMath>
      <w:r w:rsidRPr="00600379">
        <w:rPr>
          <w:rFonts w:ascii="Times New Roman" w:hAnsi="Times New Roman" w:cs="Times New Roman"/>
        </w:rPr>
        <w:t xml:space="preserve"> è</w:t>
      </w:r>
      <w:proofErr w:type="gramEnd"/>
      <w:r w:rsidRPr="00600379">
        <w:rPr>
          <w:rFonts w:ascii="Times New Roman" w:hAnsi="Times New Roman" w:cs="Times New Roman"/>
        </w:rPr>
        <w:t xml:space="preserve"> la somma dei ricavi derivanti dai corrispettivi riconosciuti dal CONAI</w:t>
      </w:r>
    </w:p>
    <w:p w14:paraId="6C71782B" w14:textId="17E24EEB" w:rsidR="001F5519" w:rsidRPr="00600379" w:rsidRDefault="0043623A" w:rsidP="001F5519">
      <w:pPr>
        <w:pStyle w:val="Paragrafoelenco"/>
        <w:numPr>
          <w:ilvl w:val="0"/>
          <w:numId w:val="15"/>
        </w:numPr>
        <w:autoSpaceDE w:val="0"/>
        <w:autoSpaceDN w:val="0"/>
        <w:adjustRightInd w:val="0"/>
        <w:rPr>
          <w:rFonts w:ascii="Times New Roman" w:hAnsi="Times New Roman" w:cs="Times New Roman"/>
        </w:rPr>
      </w:pPr>
      <m:oMath>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a</m:t>
                </m:r>
              </m:sub>
            </m:sSub>
          </m:e>
        </m:d>
        <m:sSub>
          <m:sSubPr>
            <m:ctrlPr>
              <w:rPr>
                <w:rFonts w:ascii="Cambria Math" w:hAnsi="Cambria Math" w:cs="Times New Roman"/>
                <w:i/>
              </w:rPr>
            </m:ctrlPr>
          </m:sSubPr>
          <m:e>
            <m:r>
              <w:rPr>
                <w:rFonts w:ascii="Cambria Math" w:hAnsi="Cambria Math" w:cs="Times New Roman"/>
              </w:rPr>
              <m:t>RC</m:t>
            </m:r>
          </m:e>
          <m:sub>
            <m:r>
              <w:rPr>
                <w:rFonts w:ascii="Cambria Math" w:hAnsi="Cambria Math" w:cs="Times New Roman"/>
              </w:rPr>
              <m:t>TV,a</m:t>
            </m:r>
          </m:sub>
        </m:sSub>
        <m:r>
          <w:rPr>
            <w:rFonts w:ascii="Cambria Math" w:hAnsi="Cambria Math" w:cs="Times New Roman"/>
          </w:rPr>
          <m:t>/r</m:t>
        </m:r>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dove</w:t>
      </w:r>
      <w:proofErr w:type="gramEnd"/>
      <w:r w:rsidR="001F5519" w:rsidRPr="00600379">
        <w:rPr>
          <w:rFonts w:ascii="Times New Roman" w:hAnsi="Times New Roman" w:cs="Times New Roman"/>
        </w:rPr>
        <w:t xml:space="preserve"> ϒ è il coefficiente di gradualità nel riconoscimento dei costi efficienti 2018 – 2019 mentre </w:t>
      </w:r>
      <m:oMath>
        <m:sSub>
          <m:sSubPr>
            <m:ctrlPr>
              <w:rPr>
                <w:rFonts w:ascii="Cambria Math" w:hAnsi="Cambria Math" w:cs="Times New Roman"/>
                <w:i/>
              </w:rPr>
            </m:ctrlPr>
          </m:sSubPr>
          <m:e>
            <m:r>
              <w:rPr>
                <w:rFonts w:ascii="Cambria Math" w:hAnsi="Cambria Math" w:cs="Times New Roman"/>
              </w:rPr>
              <m:t>RC</m:t>
            </m:r>
          </m:e>
          <m:sub>
            <m:r>
              <w:rPr>
                <w:rFonts w:ascii="Cambria Math" w:hAnsi="Cambria Math" w:cs="Times New Roman"/>
              </w:rPr>
              <m:t>TV,a</m:t>
            </m:r>
          </m:sub>
        </m:sSub>
      </m:oMath>
      <w:r w:rsidR="001F5519" w:rsidRPr="00600379">
        <w:rPr>
          <w:rFonts w:ascii="Times New Roman" w:hAnsi="Times New Roman" w:cs="Times New Roman"/>
        </w:rPr>
        <w:t xml:space="preserve"> è la componente a conguaglio relativa ai costi variabili, r rappresenta il numero di rate per il recupero della componente a conguaglio </w:t>
      </w:r>
    </w:p>
    <w:p w14:paraId="581C06D3" w14:textId="77777777" w:rsidR="001F5519" w:rsidRPr="0086044F" w:rsidRDefault="0043623A" w:rsidP="001F5519">
      <w:pPr>
        <w:autoSpaceDE w:val="0"/>
        <w:autoSpaceDN w:val="0"/>
        <w:adjustRightInd w:val="0"/>
        <w:spacing w:after="0"/>
        <w:rPr>
          <w:rFonts w:ascii="Times New Roman" w:hAnsi="Times New Roman" w:cs="Times New Roman"/>
        </w:rPr>
      </w:pPr>
      <m:oMathPara>
        <m:oMathParaPr>
          <m:jc m:val="center"/>
        </m:oMathParaPr>
        <m:oMath>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TF</m:t>
                  </m:r>
                </m:e>
                <m:sub>
                  <m:r>
                    <w:rPr>
                      <w:rFonts w:ascii="Cambria Math" w:hAnsi="Cambria Math" w:cs="Times New Roman"/>
                    </w:rPr>
                    <m:t>a</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CSL</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CC</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CK</m:t>
              </m:r>
            </m:e>
            <m:sub>
              <m:r>
                <w:rPr>
                  <w:rFonts w:ascii="Cambria Math" w:hAnsi="Cambria Math" w:cs="Times New Roman"/>
                </w:rPr>
                <m:t>a</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a</m:t>
                  </m:r>
                </m:sub>
              </m:sSub>
            </m:e>
          </m:d>
          <m:sSub>
            <m:sSubPr>
              <m:ctrlPr>
                <w:rPr>
                  <w:rFonts w:ascii="Cambria Math" w:hAnsi="Cambria Math" w:cs="Times New Roman"/>
                  <w:i/>
                </w:rPr>
              </m:ctrlPr>
            </m:sSubPr>
            <m:e>
              <m:r>
                <w:rPr>
                  <w:rFonts w:ascii="Cambria Math" w:hAnsi="Cambria Math" w:cs="Times New Roman"/>
                </w:rPr>
                <m:t>RC</m:t>
              </m:r>
            </m:e>
            <m:sub>
              <m:r>
                <w:rPr>
                  <w:rFonts w:ascii="Cambria Math" w:hAnsi="Cambria Math" w:cs="Times New Roman"/>
                </w:rPr>
                <m:t>TF,a</m:t>
              </m:r>
            </m:sub>
          </m:sSub>
          <m:r>
            <w:rPr>
              <w:rFonts w:ascii="Cambria Math" w:hAnsi="Cambria Math" w:cs="Times New Roman"/>
            </w:rPr>
            <m:t>/r</m:t>
          </m:r>
        </m:oMath>
      </m:oMathPara>
    </w:p>
    <w:p w14:paraId="463EBA92" w14:textId="77777777" w:rsidR="001F5519" w:rsidRPr="00600379" w:rsidRDefault="001F5519" w:rsidP="001F5519">
      <w:pPr>
        <w:autoSpaceDE w:val="0"/>
        <w:autoSpaceDN w:val="0"/>
        <w:adjustRightInd w:val="0"/>
        <w:spacing w:after="0"/>
        <w:rPr>
          <w:rFonts w:ascii="Times New Roman" w:hAnsi="Times New Roman" w:cs="Times New Roman"/>
        </w:rPr>
      </w:pPr>
    </w:p>
    <w:p w14:paraId="6F885EC9" w14:textId="77777777" w:rsidR="001F5519" w:rsidRPr="00600379" w:rsidRDefault="001F5519" w:rsidP="001F5519">
      <w:pPr>
        <w:autoSpaceDE w:val="0"/>
        <w:autoSpaceDN w:val="0"/>
        <w:adjustRightInd w:val="0"/>
        <w:spacing w:after="0"/>
        <w:rPr>
          <w:rFonts w:ascii="Times New Roman" w:hAnsi="Times New Roman" w:cs="Times New Roman"/>
        </w:rPr>
      </w:pPr>
      <w:r w:rsidRPr="00600379">
        <w:rPr>
          <w:rFonts w:ascii="Times New Roman" w:hAnsi="Times New Roman" w:cs="Times New Roman"/>
        </w:rPr>
        <w:t>Dove:</w:t>
      </w:r>
    </w:p>
    <w:p w14:paraId="5DA92680" w14:textId="77777777" w:rsidR="001F5519" w:rsidRPr="00600379" w:rsidRDefault="0043623A" w:rsidP="001F5519">
      <w:pPr>
        <w:pStyle w:val="Paragrafoelenco"/>
        <w:numPr>
          <w:ilvl w:val="0"/>
          <w:numId w:val="14"/>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CSL</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è</w:t>
      </w:r>
      <w:proofErr w:type="gramEnd"/>
      <w:r w:rsidR="001F5519" w:rsidRPr="00600379">
        <w:rPr>
          <w:rFonts w:ascii="Times New Roman" w:hAnsi="Times New Roman" w:cs="Times New Roman"/>
        </w:rPr>
        <w:t xml:space="preserve"> la componente a copertura dei costi delle attività di spazzamento e lavaggio</w:t>
      </w:r>
    </w:p>
    <w:p w14:paraId="3D36E27A" w14:textId="77777777" w:rsidR="001F5519" w:rsidRPr="00600379" w:rsidRDefault="0043623A" w:rsidP="001F5519">
      <w:pPr>
        <w:pStyle w:val="Paragrafoelenco"/>
        <w:numPr>
          <w:ilvl w:val="0"/>
          <w:numId w:val="14"/>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CC</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sono</w:t>
      </w:r>
      <w:proofErr w:type="gramEnd"/>
      <w:r w:rsidR="001F5519" w:rsidRPr="00600379">
        <w:rPr>
          <w:rFonts w:ascii="Times New Roman" w:hAnsi="Times New Roman" w:cs="Times New Roman"/>
        </w:rPr>
        <w:t xml:space="preserve"> i costi comuni</w:t>
      </w:r>
    </w:p>
    <w:p w14:paraId="7D9B4453" w14:textId="77777777" w:rsidR="001F5519" w:rsidRPr="00600379" w:rsidRDefault="0043623A" w:rsidP="001F5519">
      <w:pPr>
        <w:pStyle w:val="Paragrafoelenco"/>
        <w:numPr>
          <w:ilvl w:val="0"/>
          <w:numId w:val="14"/>
        </w:numPr>
        <w:autoSpaceDE w:val="0"/>
        <w:autoSpaceDN w:val="0"/>
        <w:adjustRightInd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CK</m:t>
            </m:r>
          </m:e>
          <m:sub>
            <m:r>
              <w:rPr>
                <w:rFonts w:ascii="Cambria Math" w:hAnsi="Cambria Math" w:cs="Times New Roman"/>
              </w:rPr>
              <m:t>a</m:t>
            </m:r>
          </m:sub>
        </m:sSub>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sono</w:t>
      </w:r>
      <w:proofErr w:type="gramEnd"/>
      <w:r w:rsidR="001F5519" w:rsidRPr="00600379">
        <w:rPr>
          <w:rFonts w:ascii="Times New Roman" w:hAnsi="Times New Roman" w:cs="Times New Roman"/>
        </w:rPr>
        <w:t xml:space="preserve"> i costi del capitale</w:t>
      </w:r>
    </w:p>
    <w:p w14:paraId="33B32439" w14:textId="702EE813" w:rsidR="001F5519" w:rsidRPr="00600379" w:rsidRDefault="0043623A" w:rsidP="001F5519">
      <w:pPr>
        <w:pStyle w:val="Paragrafoelenco"/>
        <w:numPr>
          <w:ilvl w:val="0"/>
          <w:numId w:val="15"/>
        </w:numPr>
        <w:autoSpaceDE w:val="0"/>
        <w:autoSpaceDN w:val="0"/>
        <w:adjustRightInd w:val="0"/>
        <w:rPr>
          <w:rFonts w:ascii="Times New Roman" w:hAnsi="Times New Roman" w:cs="Times New Roman"/>
        </w:rPr>
      </w:pPr>
      <m:oMath>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a</m:t>
                </m:r>
              </m:sub>
            </m:sSub>
          </m:e>
        </m:d>
        <m:sSub>
          <m:sSubPr>
            <m:ctrlPr>
              <w:rPr>
                <w:rFonts w:ascii="Cambria Math" w:hAnsi="Cambria Math" w:cs="Times New Roman"/>
                <w:i/>
              </w:rPr>
            </m:ctrlPr>
          </m:sSubPr>
          <m:e>
            <m:r>
              <w:rPr>
                <w:rFonts w:ascii="Cambria Math" w:hAnsi="Cambria Math" w:cs="Times New Roman"/>
              </w:rPr>
              <m:t>RC</m:t>
            </m:r>
          </m:e>
          <m:sub>
            <m:r>
              <w:rPr>
                <w:rFonts w:ascii="Cambria Math" w:hAnsi="Cambria Math" w:cs="Times New Roman"/>
              </w:rPr>
              <m:t>TF,a</m:t>
            </m:r>
          </m:sub>
        </m:sSub>
        <m:r>
          <w:rPr>
            <w:rFonts w:ascii="Cambria Math" w:hAnsi="Cambria Math" w:cs="Times New Roman"/>
          </w:rPr>
          <m:t>/r</m:t>
        </m:r>
      </m:oMath>
      <w:r w:rsidR="001F5519" w:rsidRPr="00600379">
        <w:rPr>
          <w:rFonts w:ascii="Times New Roman" w:hAnsi="Times New Roman" w:cs="Times New Roman"/>
        </w:rPr>
        <w:t xml:space="preserve"> </w:t>
      </w:r>
      <w:proofErr w:type="gramStart"/>
      <w:r w:rsidR="001F5519" w:rsidRPr="00600379">
        <w:rPr>
          <w:rFonts w:ascii="Times New Roman" w:hAnsi="Times New Roman" w:cs="Times New Roman"/>
        </w:rPr>
        <w:t>dove</w:t>
      </w:r>
      <w:proofErr w:type="gramEnd"/>
      <w:r w:rsidR="001F5519" w:rsidRPr="00600379">
        <w:rPr>
          <w:rFonts w:ascii="Times New Roman" w:hAnsi="Times New Roman" w:cs="Times New Roman"/>
        </w:rPr>
        <w:t xml:space="preserve"> ϒ è il coefficiente di gradualità nel riconoscimento dei costi efficienti 2018 – 2019 mentre </w:t>
      </w:r>
      <m:oMath>
        <m:sSub>
          <m:sSubPr>
            <m:ctrlPr>
              <w:rPr>
                <w:rFonts w:ascii="Cambria Math" w:hAnsi="Cambria Math" w:cs="Times New Roman"/>
                <w:i/>
              </w:rPr>
            </m:ctrlPr>
          </m:sSubPr>
          <m:e>
            <m:r>
              <w:rPr>
                <w:rFonts w:ascii="Cambria Math" w:hAnsi="Cambria Math" w:cs="Times New Roman"/>
              </w:rPr>
              <m:t>RC</m:t>
            </m:r>
          </m:e>
          <m:sub>
            <m:r>
              <w:rPr>
                <w:rFonts w:ascii="Cambria Math" w:hAnsi="Cambria Math" w:cs="Times New Roman"/>
              </w:rPr>
              <m:t>TF,a</m:t>
            </m:r>
          </m:sub>
        </m:sSub>
      </m:oMath>
      <w:r w:rsidR="001F5519" w:rsidRPr="00600379">
        <w:rPr>
          <w:rFonts w:ascii="Times New Roman" w:hAnsi="Times New Roman" w:cs="Times New Roman"/>
        </w:rPr>
        <w:t xml:space="preserve"> è la componente a conguaglio relativa ai costi fissi, r rappresenta il numero di rate per il recupero della componente a conguaglio </w:t>
      </w:r>
      <w:r w:rsidR="00720E94" w:rsidRPr="00600379">
        <w:rPr>
          <w:rFonts w:ascii="Times New Roman" w:hAnsi="Times New Roman" w:cs="Times New Roman"/>
        </w:rPr>
        <w:t>.</w:t>
      </w:r>
    </w:p>
    <w:p w14:paraId="5201E44D" w14:textId="77777777" w:rsidR="00284B24" w:rsidRPr="00600379" w:rsidRDefault="00284B24" w:rsidP="001F5519">
      <w:pPr>
        <w:autoSpaceDE w:val="0"/>
        <w:autoSpaceDN w:val="0"/>
        <w:adjustRightInd w:val="0"/>
        <w:ind w:firstLine="709"/>
        <w:rPr>
          <w:rFonts w:ascii="Times New Roman" w:hAnsi="Times New Roman" w:cs="Times New Roman"/>
        </w:rPr>
      </w:pPr>
    </w:p>
    <w:p w14:paraId="7A81765F" w14:textId="01EB2FF7" w:rsidR="001F5519" w:rsidRPr="00600379" w:rsidRDefault="001F5519" w:rsidP="00284B24">
      <w:pPr>
        <w:rPr>
          <w:rFonts w:ascii="Times New Roman" w:hAnsi="Times New Roman" w:cs="Times New Roman"/>
        </w:rPr>
      </w:pPr>
      <w:r w:rsidRPr="00600379">
        <w:rPr>
          <w:rFonts w:ascii="Times New Roman" w:hAnsi="Times New Roman" w:cs="Times New Roman"/>
        </w:rPr>
        <w:t>Come previsto dall’MTR, i costi consuntivi 201</w:t>
      </w:r>
      <w:r w:rsidR="0086044F">
        <w:rPr>
          <w:rFonts w:ascii="Times New Roman" w:hAnsi="Times New Roman" w:cs="Times New Roman"/>
        </w:rPr>
        <w:t>9</w:t>
      </w:r>
      <w:r w:rsidRPr="00600379">
        <w:rPr>
          <w:rFonts w:ascii="Times New Roman" w:hAnsi="Times New Roman" w:cs="Times New Roman"/>
        </w:rPr>
        <w:t xml:space="preserve"> (a-2 con a</w:t>
      </w:r>
      <w:r w:rsidR="00284B24" w:rsidRPr="00600379">
        <w:rPr>
          <w:rFonts w:ascii="Times New Roman" w:hAnsi="Times New Roman" w:cs="Times New Roman"/>
        </w:rPr>
        <w:t>=202</w:t>
      </w:r>
      <w:r w:rsidR="0086044F">
        <w:rPr>
          <w:rFonts w:ascii="Times New Roman" w:hAnsi="Times New Roman" w:cs="Times New Roman"/>
        </w:rPr>
        <w:t>1</w:t>
      </w:r>
      <w:r w:rsidR="00284B24" w:rsidRPr="00600379">
        <w:rPr>
          <w:rFonts w:ascii="Times New Roman" w:hAnsi="Times New Roman" w:cs="Times New Roman"/>
        </w:rPr>
        <w:t xml:space="preserve">) vengono presi a base per </w:t>
      </w:r>
      <w:r w:rsidRPr="00600379">
        <w:rPr>
          <w:rFonts w:ascii="Times New Roman" w:hAnsi="Times New Roman" w:cs="Times New Roman"/>
        </w:rPr>
        <w:t xml:space="preserve">il calcolo delle diverse componenti di costo fisso e variabile che compongono la tariffa. I medesimi sono poi stati attualizzati considerando i </w:t>
      </w:r>
      <w:proofErr w:type="gramStart"/>
      <w:r w:rsidRPr="00600379">
        <w:rPr>
          <w:rFonts w:ascii="Times New Roman" w:hAnsi="Times New Roman" w:cs="Times New Roman"/>
        </w:rPr>
        <w:t xml:space="preserve">tassi </w:t>
      </w:r>
      <m:oMath>
        <m:sSup>
          <m:sSupPr>
            <m:ctrlPr>
              <w:rPr>
                <w:rFonts w:ascii="Cambria Math" w:hAnsi="Cambria Math" w:cs="Times New Roman"/>
              </w:rPr>
            </m:ctrlPr>
          </m:sSupPr>
          <m:e>
            <m:r>
              <w:rPr>
                <w:rFonts w:ascii="Cambria Math" w:hAnsi="Cambria Math" w:cs="Times New Roman"/>
              </w:rPr>
              <m:t>I</m:t>
            </m:r>
          </m:e>
          <m:sup>
            <m:r>
              <m:rPr>
                <m:sty m:val="p"/>
              </m:rPr>
              <w:rPr>
                <w:rFonts w:ascii="Cambria Math" w:hAnsi="Cambria Math" w:cs="Times New Roman"/>
              </w:rPr>
              <m:t>2019</m:t>
            </m:r>
          </m:sup>
        </m:sSup>
      </m:oMath>
      <w:r w:rsidRPr="00600379">
        <w:rPr>
          <w:rFonts w:ascii="Times New Roman" w:hAnsi="Times New Roman" w:cs="Times New Roman"/>
        </w:rPr>
        <w:t xml:space="preserve"> pari</w:t>
      </w:r>
      <w:proofErr w:type="gramEnd"/>
      <w:r w:rsidRPr="00600379">
        <w:rPr>
          <w:rFonts w:ascii="Times New Roman" w:hAnsi="Times New Roman" w:cs="Times New Roman"/>
        </w:rPr>
        <w:t xml:space="preserve"> allo 0,90% e </w:t>
      </w:r>
      <m:oMath>
        <m:sSup>
          <m:sSupPr>
            <m:ctrlPr>
              <w:rPr>
                <w:rFonts w:ascii="Cambria Math" w:hAnsi="Cambria Math" w:cs="Times New Roman"/>
              </w:rPr>
            </m:ctrlPr>
          </m:sSupPr>
          <m:e>
            <m:r>
              <w:rPr>
                <w:rFonts w:ascii="Cambria Math" w:hAnsi="Cambria Math" w:cs="Times New Roman"/>
              </w:rPr>
              <m:t>I</m:t>
            </m:r>
          </m:e>
          <m:sup>
            <m:r>
              <m:rPr>
                <m:sty m:val="p"/>
              </m:rPr>
              <w:rPr>
                <w:rFonts w:ascii="Cambria Math" w:hAnsi="Cambria Math" w:cs="Times New Roman"/>
              </w:rPr>
              <m:t>2020</m:t>
            </m:r>
          </m:sup>
        </m:sSup>
      </m:oMath>
      <w:r w:rsidRPr="00600379">
        <w:rPr>
          <w:rFonts w:ascii="Times New Roman" w:hAnsi="Times New Roman" w:cs="Times New Roman"/>
        </w:rPr>
        <w:t xml:space="preserve"> pari all’1,10% come stabilito dall’Art.6.5.</w:t>
      </w:r>
    </w:p>
    <w:p w14:paraId="77CBE9BF" w14:textId="77777777" w:rsidR="00284B24" w:rsidRPr="0086044F" w:rsidRDefault="001F5519" w:rsidP="00284B24">
      <w:pPr>
        <w:rPr>
          <w:rFonts w:ascii="Times New Roman" w:hAnsi="Times New Roman" w:cs="Times New Roman"/>
          <w:b/>
        </w:rPr>
      </w:pPr>
      <w:r w:rsidRPr="0086044F">
        <w:rPr>
          <w:rFonts w:ascii="Times New Roman" w:hAnsi="Times New Roman" w:cs="Times New Roman"/>
          <w:b/>
        </w:rPr>
        <w:t>Il totale Tariffa calcolato, comprensivo dei relativi conguagli è pari a:</w:t>
      </w:r>
    </w:p>
    <w:p w14:paraId="49F5900B" w14:textId="3C437CEB" w:rsidR="001F5519" w:rsidRPr="0086044F" w:rsidRDefault="0043623A" w:rsidP="00284B24">
      <w:pPr>
        <w:jc w:val="center"/>
        <w:rPr>
          <w:rFonts w:ascii="Times New Roman" w:hAnsi="Times New Roman" w:cs="Times New Roman"/>
          <w:b/>
          <w:color w:val="000000" w:themeColor="text1"/>
        </w:rPr>
      </w:pPr>
      <m:oMath>
        <m:nary>
          <m:naryPr>
            <m:chr m:val="∑"/>
            <m:limLoc m:val="undOvr"/>
            <m:subHide m:val="1"/>
            <m:supHide m:val="1"/>
            <m:ctrlPr>
              <w:rPr>
                <w:rFonts w:ascii="Cambria Math" w:hAnsi="Cambria Math" w:cs="Times New Roman"/>
                <w:b/>
                <w:color w:val="000000" w:themeColor="text1"/>
              </w:rPr>
            </m:ctrlPr>
          </m:naryPr>
          <m:sub/>
          <m:sup/>
          <m:e>
            <m:sSub>
              <m:sSubPr>
                <m:ctrlPr>
                  <w:rPr>
                    <w:rFonts w:ascii="Cambria Math" w:hAnsi="Cambria Math" w:cs="Times New Roman"/>
                    <w:b/>
                    <w:color w:val="000000" w:themeColor="text1"/>
                  </w:rPr>
                </m:ctrlPr>
              </m:sSubPr>
              <m:e>
                <m:r>
                  <m:rPr>
                    <m:sty m:val="bi"/>
                  </m:rPr>
                  <w:rPr>
                    <w:rFonts w:ascii="Cambria Math" w:hAnsi="Cambria Math" w:cs="Times New Roman"/>
                    <w:color w:val="000000" w:themeColor="text1"/>
                  </w:rPr>
                  <m:t>T</m:t>
                </m:r>
              </m:e>
              <m:sub>
                <m:r>
                  <m:rPr>
                    <m:sty m:val="bi"/>
                  </m:rPr>
                  <w:rPr>
                    <w:rFonts w:ascii="Cambria Math" w:hAnsi="Cambria Math" w:cs="Times New Roman"/>
                    <w:color w:val="000000" w:themeColor="text1"/>
                  </w:rPr>
                  <m:t>a</m:t>
                </m:r>
              </m:sub>
            </m:sSub>
          </m:e>
        </m:nary>
      </m:oMath>
      <w:r w:rsidR="001F5519" w:rsidRPr="0086044F">
        <w:rPr>
          <w:rFonts w:ascii="Times New Roman" w:hAnsi="Times New Roman" w:cs="Times New Roman"/>
          <w:b/>
          <w:color w:val="000000" w:themeColor="text1"/>
        </w:rPr>
        <w:t xml:space="preserve">= </w:t>
      </w:r>
      <w:r w:rsidR="009A7ABD" w:rsidRPr="0086044F">
        <w:rPr>
          <w:rFonts w:ascii="Times New Roman" w:hAnsi="Times New Roman" w:cs="Times New Roman"/>
          <w:b/>
          <w:color w:val="000000" w:themeColor="text1"/>
        </w:rPr>
        <w:t>∑</w:t>
      </w:r>
      <w:proofErr w:type="spellStart"/>
      <w:r w:rsidR="009A7ABD" w:rsidRPr="0086044F">
        <w:rPr>
          <w:rFonts w:ascii="Times New Roman" w:hAnsi="Times New Roman" w:cs="Times New Roman"/>
          <w:b/>
          <w:color w:val="000000" w:themeColor="text1"/>
        </w:rPr>
        <w:t>TVa</w:t>
      </w:r>
      <w:proofErr w:type="spellEnd"/>
      <w:r w:rsidR="009A7ABD" w:rsidRPr="0086044F">
        <w:rPr>
          <w:rFonts w:ascii="Times New Roman" w:hAnsi="Times New Roman" w:cs="Times New Roman"/>
          <w:b/>
          <w:color w:val="000000" w:themeColor="text1"/>
        </w:rPr>
        <w:t xml:space="preserve"> + ∑</w:t>
      </w:r>
      <w:proofErr w:type="spellStart"/>
      <w:r w:rsidR="009A7ABD" w:rsidRPr="0086044F">
        <w:rPr>
          <w:rFonts w:ascii="Times New Roman" w:hAnsi="Times New Roman" w:cs="Times New Roman"/>
          <w:b/>
          <w:color w:val="000000" w:themeColor="text1"/>
        </w:rPr>
        <w:t>TFa</w:t>
      </w:r>
      <w:proofErr w:type="spellEnd"/>
      <w:r w:rsidR="009A7ABD" w:rsidRPr="0086044F">
        <w:rPr>
          <w:rFonts w:ascii="Times New Roman" w:hAnsi="Times New Roman" w:cs="Times New Roman"/>
          <w:b/>
          <w:color w:val="000000" w:themeColor="text1"/>
        </w:rPr>
        <w:t xml:space="preserve"> = </w:t>
      </w:r>
      <w:r w:rsidR="001B592B" w:rsidRPr="0086044F">
        <w:rPr>
          <w:rFonts w:ascii="Times New Roman" w:hAnsi="Times New Roman" w:cs="Times New Roman"/>
          <w:b/>
          <w:color w:val="000000" w:themeColor="text1"/>
        </w:rPr>
        <w:t xml:space="preserve">€ </w:t>
      </w:r>
      <w:r w:rsidR="00475267" w:rsidRPr="0086044F">
        <w:rPr>
          <w:rFonts w:ascii="Times New Roman" w:hAnsi="Times New Roman" w:cs="Times New Roman"/>
          <w:b/>
          <w:color w:val="000000" w:themeColor="text1"/>
        </w:rPr>
        <w:t>5.</w:t>
      </w:r>
      <w:r w:rsidR="0086044F" w:rsidRPr="0086044F">
        <w:rPr>
          <w:rFonts w:ascii="Times New Roman" w:hAnsi="Times New Roman" w:cs="Times New Roman"/>
          <w:b/>
          <w:color w:val="000000" w:themeColor="text1"/>
        </w:rPr>
        <w:t>692</w:t>
      </w:r>
      <w:r w:rsidR="00AC4192" w:rsidRPr="0086044F">
        <w:rPr>
          <w:rFonts w:ascii="Times New Roman" w:hAnsi="Times New Roman" w:cs="Times New Roman"/>
          <w:b/>
          <w:color w:val="000000" w:themeColor="text1"/>
        </w:rPr>
        <w:t>.</w:t>
      </w:r>
      <w:r w:rsidR="0086044F" w:rsidRPr="0086044F">
        <w:rPr>
          <w:rFonts w:ascii="Times New Roman" w:hAnsi="Times New Roman" w:cs="Times New Roman"/>
          <w:b/>
          <w:color w:val="000000" w:themeColor="text1"/>
        </w:rPr>
        <w:t>319</w:t>
      </w:r>
      <w:r w:rsidR="00AC4192" w:rsidRPr="0086044F">
        <w:rPr>
          <w:rFonts w:ascii="Times New Roman" w:hAnsi="Times New Roman" w:cs="Times New Roman"/>
          <w:b/>
          <w:color w:val="000000" w:themeColor="text1"/>
        </w:rPr>
        <w:t>,</w:t>
      </w:r>
      <w:r w:rsidR="00475267" w:rsidRPr="0086044F">
        <w:rPr>
          <w:rFonts w:ascii="Times New Roman" w:hAnsi="Times New Roman" w:cs="Times New Roman"/>
          <w:b/>
          <w:color w:val="000000" w:themeColor="text1"/>
        </w:rPr>
        <w:t>00</w:t>
      </w:r>
      <w:r w:rsidR="001F5519" w:rsidRPr="0086044F">
        <w:rPr>
          <w:rFonts w:ascii="Times New Roman" w:hAnsi="Times New Roman" w:cs="Times New Roman"/>
          <w:b/>
          <w:color w:val="000000" w:themeColor="text1"/>
        </w:rPr>
        <w:t xml:space="preserve"> </w:t>
      </w:r>
      <w:r w:rsidR="001B592B" w:rsidRPr="0086044F">
        <w:rPr>
          <w:rFonts w:ascii="Times New Roman" w:hAnsi="Times New Roman" w:cs="Times New Roman"/>
          <w:color w:val="000000" w:themeColor="text1"/>
        </w:rPr>
        <w:t>(</w:t>
      </w:r>
      <w:r w:rsidR="009A7ABD" w:rsidRPr="0086044F">
        <w:rPr>
          <w:rFonts w:ascii="Times New Roman" w:hAnsi="Times New Roman" w:cs="Times New Roman"/>
          <w:color w:val="000000" w:themeColor="text1"/>
        </w:rPr>
        <w:t>comprensivo</w:t>
      </w:r>
      <w:r w:rsidR="001F5519" w:rsidRPr="0086044F">
        <w:rPr>
          <w:rFonts w:ascii="Times New Roman" w:hAnsi="Times New Roman" w:cs="Times New Roman"/>
          <w:color w:val="000000" w:themeColor="text1"/>
        </w:rPr>
        <w:t xml:space="preserve"> di IVA</w:t>
      </w:r>
      <w:r w:rsidR="009A7ABD" w:rsidRPr="0086044F">
        <w:rPr>
          <w:rFonts w:ascii="Times New Roman" w:hAnsi="Times New Roman" w:cs="Times New Roman"/>
          <w:color w:val="000000" w:themeColor="text1"/>
        </w:rPr>
        <w:t xml:space="preserve"> 10%</w:t>
      </w:r>
      <w:r w:rsidR="001B592B" w:rsidRPr="0086044F">
        <w:rPr>
          <w:rFonts w:ascii="Times New Roman" w:hAnsi="Times New Roman" w:cs="Times New Roman"/>
          <w:color w:val="000000" w:themeColor="text1"/>
        </w:rPr>
        <w:t>)</w:t>
      </w:r>
    </w:p>
    <w:p w14:paraId="61090F60" w14:textId="5AF14AE4" w:rsidR="0086044F" w:rsidRPr="0086044F" w:rsidRDefault="0086044F" w:rsidP="0086044F">
      <w:pPr>
        <w:rPr>
          <w:rFonts w:ascii="Times New Roman" w:hAnsi="Times New Roman" w:cs="Times New Roman"/>
          <w:b/>
        </w:rPr>
      </w:pPr>
      <w:r w:rsidRPr="0086044F">
        <w:rPr>
          <w:rFonts w:ascii="Times New Roman" w:hAnsi="Times New Roman" w:cs="Times New Roman"/>
          <w:b/>
        </w:rPr>
        <w:t>L’importo di cui sopra è indicato al netto del contributo MIUR 2020 pari a € 46.193,00.</w:t>
      </w:r>
    </w:p>
    <w:p w14:paraId="326CFB7E" w14:textId="53CC7F38" w:rsidR="002059FB" w:rsidRDefault="001F5519" w:rsidP="00284B24">
      <w:pPr>
        <w:rPr>
          <w:rFonts w:ascii="Times New Roman" w:hAnsi="Times New Roman" w:cs="Times New Roman"/>
        </w:rPr>
      </w:pPr>
      <w:r w:rsidRPr="00600379">
        <w:rPr>
          <w:rFonts w:ascii="Times New Roman" w:hAnsi="Times New Roman" w:cs="Times New Roman"/>
        </w:rPr>
        <w:t xml:space="preserve">In </w:t>
      </w:r>
      <w:r w:rsidR="007D4422" w:rsidRPr="00600379">
        <w:rPr>
          <w:rFonts w:ascii="Times New Roman" w:hAnsi="Times New Roman" w:cs="Times New Roman"/>
        </w:rPr>
        <w:t xml:space="preserve">allegato </w:t>
      </w:r>
      <w:r w:rsidR="00BC0E36" w:rsidRPr="00600379">
        <w:rPr>
          <w:rFonts w:ascii="Times New Roman" w:hAnsi="Times New Roman" w:cs="Times New Roman"/>
        </w:rPr>
        <w:t>Appendice 1</w:t>
      </w:r>
      <w:r w:rsidRPr="00600379">
        <w:rPr>
          <w:rFonts w:ascii="Times New Roman" w:hAnsi="Times New Roman" w:cs="Times New Roman"/>
        </w:rPr>
        <w:t xml:space="preserve"> vengono riportati i dettagli delle voci di costo che compongono il metodo tariffario come sopra esposto e secondo lo schema tipo proposto da ARERA, “443-2019-R-rif Appendice 1-Schema tipo PEF”.</w:t>
      </w:r>
    </w:p>
    <w:p w14:paraId="673962E7" w14:textId="054011A6" w:rsidR="00B52961" w:rsidRDefault="00B52961">
      <w:pPr>
        <w:spacing w:line="276" w:lineRule="auto"/>
        <w:jc w:val="left"/>
        <w:rPr>
          <w:rFonts w:ascii="Times New Roman" w:hAnsi="Times New Roman" w:cs="Times New Roman"/>
        </w:rPr>
      </w:pPr>
      <w:r>
        <w:rPr>
          <w:rFonts w:ascii="Times New Roman" w:hAnsi="Times New Roman" w:cs="Times New Roman"/>
        </w:rPr>
        <w:br w:type="page"/>
      </w:r>
    </w:p>
    <w:p w14:paraId="6C365D35" w14:textId="7244F623" w:rsidR="001270AC" w:rsidRPr="00DF6375" w:rsidRDefault="00FA178F" w:rsidP="0056501F">
      <w:pPr>
        <w:pStyle w:val="Titolo1"/>
        <w:rPr>
          <w:rFonts w:ascii="Times New Roman" w:hAnsi="Times New Roman" w:cs="Times New Roman"/>
          <w:sz w:val="22"/>
          <w:szCs w:val="22"/>
        </w:rPr>
      </w:pPr>
      <w:bookmarkStart w:id="21" w:name="_Toc71740621"/>
      <w:r w:rsidRPr="00DF6375">
        <w:rPr>
          <w:rFonts w:ascii="Times New Roman" w:hAnsi="Times New Roman" w:cs="Times New Roman"/>
          <w:sz w:val="22"/>
          <w:szCs w:val="22"/>
        </w:rPr>
        <w:t>VALUTAZIONI DELL’ENTE TERRITORIALMENTE COMPETENTE</w:t>
      </w:r>
      <w:bookmarkEnd w:id="21"/>
    </w:p>
    <w:p w14:paraId="2DAD6B37" w14:textId="291566B9" w:rsidR="00FA178F" w:rsidRPr="00DF6375" w:rsidRDefault="00FA178F" w:rsidP="00DF6375">
      <w:pPr>
        <w:pStyle w:val="Titolo2"/>
        <w:numPr>
          <w:ilvl w:val="1"/>
          <w:numId w:val="39"/>
        </w:numPr>
        <w:rPr>
          <w:rFonts w:ascii="Times New Roman" w:hAnsi="Times New Roman" w:cs="Times New Roman"/>
        </w:rPr>
      </w:pPr>
      <w:bookmarkStart w:id="22" w:name="_Toc71740622"/>
      <w:r w:rsidRPr="00DF6375">
        <w:rPr>
          <w:rFonts w:ascii="Times New Roman" w:hAnsi="Times New Roman" w:cs="Times New Roman"/>
        </w:rPr>
        <w:t>Attività di validazione svolta</w:t>
      </w:r>
      <w:bookmarkEnd w:id="22"/>
    </w:p>
    <w:p w14:paraId="223C2B3E" w14:textId="767C8F1C" w:rsidR="007C3137" w:rsidRPr="00DF6375" w:rsidRDefault="007C3137" w:rsidP="007C3137">
      <w:pPr>
        <w:rPr>
          <w:rFonts w:ascii="Times New Roman" w:hAnsi="Times New Roman" w:cs="Times New Roman"/>
        </w:rPr>
      </w:pPr>
      <w:r w:rsidRPr="00DF6375">
        <w:rPr>
          <w:rFonts w:ascii="Times New Roman" w:hAnsi="Times New Roman" w:cs="Times New Roman"/>
        </w:rPr>
        <w:t>Per l’elaborazione del Piano Finanziario si è tenuto conto di quanto stabilito dal punto 1.5, b) della Determinazione n. 02/DRIF/2020 di ARERA. Il Gestore Formula Ambiente S.p.A., ha fornito i dati dichiarati nella “RELAZIONE GIUSTIFICATIVA SULLA CONGRUITÀ DELL’OFFERTA” della documentazione di gara. I documenti di input utilizzati per il calcolo dei dati di competenza del Gestore per la redazione del PEF “Grezzo” sono il Contratto di appalto e il Giustificativo economico e progetto di gara. Si è integrato il PEF “Grezzo” fornito dal Gestore inserendo i “costi dell’attività di trattamento e smaltimento (CTS)”, la premialità R.A.S. relativa ai conferimenti del SECCO per l’anno 20</w:t>
      </w:r>
      <w:r w:rsidR="000B3287" w:rsidRPr="00DF6375">
        <w:rPr>
          <w:rFonts w:ascii="Times New Roman" w:hAnsi="Times New Roman" w:cs="Times New Roman"/>
        </w:rPr>
        <w:t>20</w:t>
      </w:r>
      <w:r w:rsidRPr="00DF6375">
        <w:rPr>
          <w:rFonts w:ascii="Times New Roman" w:hAnsi="Times New Roman" w:cs="Times New Roman"/>
        </w:rPr>
        <w:t>, i “costi dell’attività di trattamento e r</w:t>
      </w:r>
      <w:r w:rsidR="00FF75FC" w:rsidRPr="00DF6375">
        <w:rPr>
          <w:rFonts w:ascii="Times New Roman" w:hAnsi="Times New Roman" w:cs="Times New Roman"/>
        </w:rPr>
        <w:t>ecupero (CTR)” e</w:t>
      </w:r>
      <w:r w:rsidRPr="00DF6375">
        <w:rPr>
          <w:rFonts w:ascii="Times New Roman" w:hAnsi="Times New Roman" w:cs="Times New Roman"/>
        </w:rPr>
        <w:t>, sulla base dei dati 2020 in possesso dell’amministrazione, il valore relativo ai ricavi derivanti dai corrispettivi riconosciuti dal CONAI</w:t>
      </w:r>
      <w:r w:rsidR="00FF75FC" w:rsidRPr="00DF6375">
        <w:rPr>
          <w:rFonts w:ascii="Times New Roman" w:hAnsi="Times New Roman" w:cs="Times New Roman"/>
        </w:rPr>
        <w:t>.</w:t>
      </w:r>
    </w:p>
    <w:p w14:paraId="6BD84CD2" w14:textId="237E40DF" w:rsidR="00FF75FC" w:rsidRPr="00DF6375" w:rsidRDefault="00FF75FC" w:rsidP="007C3137">
      <w:pPr>
        <w:rPr>
          <w:rFonts w:ascii="Times New Roman" w:hAnsi="Times New Roman" w:cs="Times New Roman"/>
        </w:rPr>
      </w:pPr>
      <w:r w:rsidRPr="00DF6375">
        <w:rPr>
          <w:rFonts w:ascii="Times New Roman" w:hAnsi="Times New Roman" w:cs="Times New Roman"/>
        </w:rPr>
        <w:t>S</w:t>
      </w:r>
      <w:r w:rsidR="00DC51FE" w:rsidRPr="00DF6375">
        <w:rPr>
          <w:rFonts w:ascii="Times New Roman" w:hAnsi="Times New Roman" w:cs="Times New Roman"/>
        </w:rPr>
        <w:t>ono stati aggiunti i</w:t>
      </w:r>
      <w:r w:rsidRPr="00DF6375">
        <w:rPr>
          <w:rFonts w:ascii="Times New Roman" w:hAnsi="Times New Roman" w:cs="Times New Roman"/>
        </w:rPr>
        <w:t xml:space="preserve"> costi CARC e CCD e la rata (unica) relativa al costo RCND</w:t>
      </w:r>
      <w:r w:rsidRPr="00DF6375">
        <w:rPr>
          <w:rFonts w:ascii="Times New Roman" w:hAnsi="Times New Roman" w:cs="Times New Roman"/>
          <w:vertAlign w:val="subscript"/>
        </w:rPr>
        <w:t>TV</w:t>
      </w:r>
      <w:r w:rsidRPr="00DF6375">
        <w:rPr>
          <w:rFonts w:ascii="Times New Roman" w:hAnsi="Times New Roman" w:cs="Times New Roman"/>
        </w:rPr>
        <w:t>.</w:t>
      </w:r>
    </w:p>
    <w:p w14:paraId="3D8B835A" w14:textId="57482392" w:rsidR="00DC51FE" w:rsidRPr="00DF6375" w:rsidRDefault="00DC51FE" w:rsidP="007C3137">
      <w:pPr>
        <w:rPr>
          <w:rFonts w:ascii="Times New Roman" w:hAnsi="Times New Roman" w:cs="Times New Roman"/>
        </w:rPr>
      </w:pPr>
      <w:r w:rsidRPr="00DF6375">
        <w:rPr>
          <w:rFonts w:ascii="Times New Roman" w:hAnsi="Times New Roman" w:cs="Times New Roman"/>
        </w:rPr>
        <w:t xml:space="preserve">Nel rispetto dell’equilibrio economico finanziario della gestione, a norma del comma 4.5 della Deliberazione 443/2019/R/RIF, è </w:t>
      </w:r>
      <w:r w:rsidR="00EB3D31">
        <w:rPr>
          <w:rFonts w:ascii="Times New Roman" w:hAnsi="Times New Roman" w:cs="Times New Roman"/>
        </w:rPr>
        <w:t xml:space="preserve">stata </w:t>
      </w:r>
      <w:r w:rsidRPr="00DF6375">
        <w:rPr>
          <w:rFonts w:ascii="Times New Roman" w:hAnsi="Times New Roman" w:cs="Times New Roman"/>
        </w:rPr>
        <w:t>effettuata la detrazione di € 190.000,00 dai CGG indicati dal Gestore.</w:t>
      </w:r>
    </w:p>
    <w:p w14:paraId="4F05CAF0" w14:textId="77777777" w:rsidR="00FA178F" w:rsidRPr="00DF6375" w:rsidRDefault="00FA178F" w:rsidP="0056501F">
      <w:pPr>
        <w:pStyle w:val="Titolo2"/>
        <w:rPr>
          <w:rFonts w:ascii="Times New Roman" w:hAnsi="Times New Roman" w:cs="Times New Roman"/>
          <w:szCs w:val="22"/>
        </w:rPr>
      </w:pPr>
      <w:bookmarkStart w:id="23" w:name="_Toc23425328"/>
      <w:bookmarkStart w:id="24" w:name="_Toc71740623"/>
      <w:r w:rsidRPr="00DF6375">
        <w:rPr>
          <w:rFonts w:ascii="Times New Roman" w:hAnsi="Times New Roman" w:cs="Times New Roman"/>
          <w:szCs w:val="22"/>
        </w:rPr>
        <w:t>Limite alla crescita annuale delle entrate tariffarie</w:t>
      </w:r>
      <w:bookmarkEnd w:id="24"/>
      <w:r w:rsidRPr="00DF6375">
        <w:rPr>
          <w:rFonts w:ascii="Times New Roman" w:hAnsi="Times New Roman" w:cs="Times New Roman"/>
          <w:szCs w:val="22"/>
        </w:rPr>
        <w:t xml:space="preserve"> </w:t>
      </w:r>
    </w:p>
    <w:p w14:paraId="41E50C12" w14:textId="18F06BC7" w:rsidR="00FA178F" w:rsidRPr="00DF6375" w:rsidRDefault="00FA178F" w:rsidP="0056501F">
      <w:pPr>
        <w:rPr>
          <w:rFonts w:ascii="Times New Roman" w:hAnsi="Times New Roman" w:cs="Times New Roman"/>
        </w:rPr>
      </w:pPr>
      <w:r w:rsidRPr="00DF6375">
        <w:rPr>
          <w:rFonts w:ascii="Times New Roman" w:hAnsi="Times New Roman" w:cs="Times New Roman"/>
        </w:rPr>
        <w:t>Il limite alla crescita tariffaria imposto dalla norma (art. 4 MTR) prevede un valore massimo dell’1,</w:t>
      </w:r>
      <w:r w:rsidR="00FA304A" w:rsidRPr="00DF6375">
        <w:rPr>
          <w:rFonts w:ascii="Times New Roman" w:hAnsi="Times New Roman" w:cs="Times New Roman"/>
        </w:rPr>
        <w:t>6</w:t>
      </w:r>
      <w:r w:rsidRPr="00DF6375">
        <w:rPr>
          <w:rFonts w:ascii="Times New Roman" w:hAnsi="Times New Roman" w:cs="Times New Roman"/>
        </w:rPr>
        <w:t>%.</w:t>
      </w:r>
    </w:p>
    <w:p w14:paraId="0B0CDC2B" w14:textId="2BBEEC7D" w:rsidR="00FA178F" w:rsidRPr="00DF6375" w:rsidRDefault="00FA178F" w:rsidP="0056501F">
      <w:pPr>
        <w:rPr>
          <w:rFonts w:ascii="Times New Roman" w:hAnsi="Times New Roman" w:cs="Times New Roman"/>
        </w:rPr>
      </w:pPr>
      <w:r w:rsidRPr="00DF6375">
        <w:rPr>
          <w:rFonts w:ascii="Times New Roman" w:hAnsi="Times New Roman" w:cs="Times New Roman"/>
        </w:rPr>
        <w:t xml:space="preserve">Il valore è così calcolato: 1 + inflazione programmata dello </w:t>
      </w:r>
      <w:r w:rsidR="00FA304A" w:rsidRPr="00DF6375">
        <w:rPr>
          <w:rFonts w:ascii="Times New Roman" w:hAnsi="Times New Roman" w:cs="Times New Roman"/>
        </w:rPr>
        <w:t>1</w:t>
      </w:r>
      <w:r w:rsidRPr="00DF6375">
        <w:rPr>
          <w:rFonts w:ascii="Times New Roman" w:hAnsi="Times New Roman" w:cs="Times New Roman"/>
        </w:rPr>
        <w:t>,</w:t>
      </w:r>
      <w:r w:rsidR="00FA304A" w:rsidRPr="00DF6375">
        <w:rPr>
          <w:rFonts w:ascii="Times New Roman" w:hAnsi="Times New Roman" w:cs="Times New Roman"/>
        </w:rPr>
        <w:t>7</w:t>
      </w:r>
      <w:r w:rsidRPr="00DF6375">
        <w:rPr>
          <w:rFonts w:ascii="Times New Roman" w:hAnsi="Times New Roman" w:cs="Times New Roman"/>
        </w:rPr>
        <w:t xml:space="preserve">% </w:t>
      </w:r>
      <w:r w:rsidR="00FA304A" w:rsidRPr="00DF6375">
        <w:rPr>
          <w:rFonts w:ascii="Times New Roman" w:hAnsi="Times New Roman" w:cs="Times New Roman"/>
        </w:rPr>
        <w:t>-</w:t>
      </w:r>
      <w:r w:rsidRPr="00DF6375">
        <w:rPr>
          <w:rFonts w:ascii="Times New Roman" w:hAnsi="Times New Roman" w:cs="Times New Roman"/>
        </w:rPr>
        <w:t xml:space="preserve"> recupero produttività dello 0,1% </w:t>
      </w:r>
      <w:proofErr w:type="gramStart"/>
      <w:r w:rsidRPr="00DF637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QL</m:t>
            </m:r>
          </m:e>
          <m:sub>
            <m:r>
              <w:rPr>
                <w:rFonts w:ascii="Cambria Math" w:hAnsi="Cambria Math" w:cs="Times New Roman"/>
              </w:rPr>
              <m:t>a</m:t>
            </m:r>
          </m:sub>
        </m:sSub>
      </m:oMath>
      <w:r w:rsidRPr="00DF6375">
        <w:rPr>
          <w:rFonts w:ascii="Times New Roman" w:hAnsi="Times New Roman" w:cs="Times New Roman"/>
        </w:rPr>
        <w:t xml:space="preserve"> (</w:t>
      </w:r>
      <w:proofErr w:type="gramEnd"/>
      <w:r w:rsidRPr="00DF6375">
        <w:rPr>
          <w:rFonts w:ascii="Times New Roman" w:hAnsi="Times New Roman" w:cs="Times New Roman"/>
        </w:rPr>
        <w:t xml:space="preserve">pari a 0) + </w:t>
      </w:r>
      <m:oMath>
        <m:sSub>
          <m:sSubPr>
            <m:ctrlPr>
              <w:rPr>
                <w:rFonts w:ascii="Cambria Math" w:hAnsi="Cambria Math" w:cs="Times New Roman"/>
                <w:i/>
              </w:rPr>
            </m:ctrlPr>
          </m:sSubPr>
          <m:e>
            <m:r>
              <w:rPr>
                <w:rFonts w:ascii="Cambria Math" w:hAnsi="Cambria Math" w:cs="Times New Roman"/>
              </w:rPr>
              <m:t>PG</m:t>
            </m:r>
          </m:e>
          <m:sub>
            <m:r>
              <w:rPr>
                <w:rFonts w:ascii="Cambria Math" w:hAnsi="Cambria Math" w:cs="Times New Roman"/>
              </w:rPr>
              <m:t>a</m:t>
            </m:r>
          </m:sub>
        </m:sSub>
      </m:oMath>
      <w:r w:rsidRPr="00DF6375">
        <w:rPr>
          <w:rFonts w:ascii="Times New Roman" w:hAnsi="Times New Roman" w:cs="Times New Roman"/>
        </w:rPr>
        <w:t xml:space="preserve"> (pari a 0).</w:t>
      </w:r>
      <w:r w:rsidR="00FA304A" w:rsidRPr="00DF6375">
        <w:rPr>
          <w:rFonts w:ascii="Times New Roman" w:hAnsi="Times New Roman" w:cs="Times New Roman"/>
        </w:rPr>
        <w:t xml:space="preserve"> Il valore risultante è pari a </w:t>
      </w:r>
      <w:r w:rsidR="00E143F7" w:rsidRPr="00DF6375">
        <w:rPr>
          <w:rFonts w:ascii="Times New Roman" w:hAnsi="Times New Roman" w:cs="Times New Roman"/>
        </w:rPr>
        <w:t>1</w:t>
      </w:r>
      <w:r w:rsidR="00FA304A" w:rsidRPr="00DF6375">
        <w:rPr>
          <w:rFonts w:ascii="Times New Roman" w:hAnsi="Times New Roman" w:cs="Times New Roman"/>
        </w:rPr>
        <w:t>,6.</w:t>
      </w:r>
    </w:p>
    <w:p w14:paraId="5A635F13" w14:textId="048AC0E2" w:rsidR="00FA304A" w:rsidRPr="0043623A" w:rsidRDefault="00DC51FE" w:rsidP="0056501F">
      <w:pPr>
        <w:rPr>
          <w:rFonts w:ascii="Times New Roman" w:hAnsi="Times New Roman" w:cs="Times New Roman"/>
          <w:color w:val="000000" w:themeColor="text1"/>
        </w:rPr>
      </w:pPr>
      <w:r w:rsidRPr="0043623A">
        <w:rPr>
          <w:rFonts w:ascii="Times New Roman" w:hAnsi="Times New Roman" w:cs="Times New Roman"/>
          <w:color w:val="000000" w:themeColor="text1"/>
        </w:rPr>
        <w:t>Il rapporto</w:t>
      </w:r>
      <w:r w:rsidR="008D09B5" w:rsidRPr="0043623A">
        <w:rPr>
          <w:rFonts w:ascii="Times New Roman" w:hAnsi="Times New Roman" w:cs="Times New Roman"/>
          <w:color w:val="000000" w:themeColor="text1"/>
        </w:rPr>
        <w:t xml:space="preserve"> ∑</w:t>
      </w:r>
      <w:proofErr w:type="spellStart"/>
      <w:r w:rsidR="008D09B5" w:rsidRPr="0043623A">
        <w:rPr>
          <w:rFonts w:ascii="Times New Roman" w:hAnsi="Times New Roman" w:cs="Times New Roman"/>
          <w:color w:val="000000" w:themeColor="text1"/>
        </w:rPr>
        <w:t>Ta</w:t>
      </w:r>
      <w:proofErr w:type="spellEnd"/>
      <w:r w:rsidR="008D09B5" w:rsidRPr="0043623A">
        <w:rPr>
          <w:rFonts w:ascii="Times New Roman" w:hAnsi="Times New Roman" w:cs="Times New Roman"/>
          <w:color w:val="000000" w:themeColor="text1"/>
        </w:rPr>
        <w:t>/ ∑Ta</w:t>
      </w:r>
      <w:r w:rsidR="00FA304A" w:rsidRPr="0043623A">
        <w:rPr>
          <w:rFonts w:ascii="Times New Roman" w:hAnsi="Times New Roman" w:cs="Times New Roman"/>
          <w:color w:val="000000" w:themeColor="text1"/>
        </w:rPr>
        <w:t xml:space="preserve">-1 è pari a </w:t>
      </w:r>
      <w:r w:rsidR="00FF75FC" w:rsidRPr="0043623A">
        <w:rPr>
          <w:rFonts w:ascii="Times New Roman" w:hAnsi="Times New Roman" w:cs="Times New Roman"/>
          <w:b/>
          <w:color w:val="000000" w:themeColor="text1"/>
        </w:rPr>
        <w:t>0</w:t>
      </w:r>
      <w:r w:rsidR="00FA304A" w:rsidRPr="0043623A">
        <w:rPr>
          <w:rFonts w:ascii="Times New Roman" w:hAnsi="Times New Roman" w:cs="Times New Roman"/>
          <w:b/>
          <w:color w:val="000000" w:themeColor="text1"/>
        </w:rPr>
        <w:t>,</w:t>
      </w:r>
      <w:r w:rsidR="00FF75FC" w:rsidRPr="0043623A">
        <w:rPr>
          <w:rFonts w:ascii="Times New Roman" w:hAnsi="Times New Roman" w:cs="Times New Roman"/>
          <w:b/>
          <w:color w:val="000000" w:themeColor="text1"/>
        </w:rPr>
        <w:t>9753</w:t>
      </w:r>
      <w:r w:rsidR="00FA304A" w:rsidRPr="0043623A">
        <w:rPr>
          <w:rFonts w:ascii="Times New Roman" w:hAnsi="Times New Roman" w:cs="Times New Roman"/>
          <w:color w:val="000000" w:themeColor="text1"/>
        </w:rPr>
        <w:t xml:space="preserve"> </w:t>
      </w:r>
      <w:r w:rsidR="008D09B5" w:rsidRPr="0043623A">
        <w:rPr>
          <w:rFonts w:ascii="Times New Roman" w:hAnsi="Times New Roman" w:cs="Times New Roman"/>
          <w:color w:val="000000" w:themeColor="text1"/>
        </w:rPr>
        <w:t>(∑</w:t>
      </w:r>
      <w:proofErr w:type="spellStart"/>
      <w:r w:rsidR="008D09B5" w:rsidRPr="0043623A">
        <w:rPr>
          <w:rFonts w:ascii="Times New Roman" w:hAnsi="Times New Roman" w:cs="Times New Roman"/>
          <w:color w:val="000000" w:themeColor="text1"/>
        </w:rPr>
        <w:t>T</w:t>
      </w:r>
      <w:r w:rsidR="0029111E" w:rsidRPr="0043623A">
        <w:rPr>
          <w:rFonts w:ascii="Times New Roman" w:hAnsi="Times New Roman" w:cs="Times New Roman"/>
          <w:color w:val="000000" w:themeColor="text1"/>
        </w:rPr>
        <w:t>a</w:t>
      </w:r>
      <w:proofErr w:type="spellEnd"/>
      <w:r w:rsidR="0029111E" w:rsidRPr="0043623A">
        <w:rPr>
          <w:rFonts w:ascii="Times New Roman" w:hAnsi="Times New Roman" w:cs="Times New Roman"/>
          <w:color w:val="000000" w:themeColor="text1"/>
        </w:rPr>
        <w:t xml:space="preserve"> = </w:t>
      </w:r>
      <w:r w:rsidR="00E143F7" w:rsidRPr="0043623A">
        <w:rPr>
          <w:rFonts w:ascii="Times New Roman" w:hAnsi="Times New Roman" w:cs="Times New Roman"/>
          <w:color w:val="000000" w:themeColor="text1"/>
        </w:rPr>
        <w:t>5</w:t>
      </w:r>
      <w:r w:rsidR="00975862" w:rsidRPr="0043623A">
        <w:rPr>
          <w:rFonts w:ascii="Times New Roman" w:hAnsi="Times New Roman" w:cs="Times New Roman"/>
          <w:color w:val="000000" w:themeColor="text1"/>
        </w:rPr>
        <w:t>.</w:t>
      </w:r>
      <w:r w:rsidR="00FF75FC" w:rsidRPr="0043623A">
        <w:rPr>
          <w:rFonts w:ascii="Times New Roman" w:hAnsi="Times New Roman" w:cs="Times New Roman"/>
          <w:color w:val="000000" w:themeColor="text1"/>
        </w:rPr>
        <w:t>692</w:t>
      </w:r>
      <w:r w:rsidR="0029111E" w:rsidRPr="0043623A">
        <w:rPr>
          <w:rFonts w:ascii="Times New Roman" w:hAnsi="Times New Roman" w:cs="Times New Roman"/>
          <w:color w:val="000000" w:themeColor="text1"/>
        </w:rPr>
        <w:t>.</w:t>
      </w:r>
      <w:r w:rsidR="00FF75FC" w:rsidRPr="0043623A">
        <w:rPr>
          <w:rFonts w:ascii="Times New Roman" w:hAnsi="Times New Roman" w:cs="Times New Roman"/>
          <w:color w:val="000000" w:themeColor="text1"/>
        </w:rPr>
        <w:t>319</w:t>
      </w:r>
      <w:r w:rsidR="0029111E" w:rsidRPr="0043623A">
        <w:rPr>
          <w:rFonts w:ascii="Times New Roman" w:hAnsi="Times New Roman" w:cs="Times New Roman"/>
          <w:color w:val="000000" w:themeColor="text1"/>
        </w:rPr>
        <w:t>,</w:t>
      </w:r>
      <w:r w:rsidR="00FF75FC" w:rsidRPr="0043623A">
        <w:rPr>
          <w:rFonts w:ascii="Times New Roman" w:hAnsi="Times New Roman" w:cs="Times New Roman"/>
          <w:color w:val="000000" w:themeColor="text1"/>
        </w:rPr>
        <w:t>00</w:t>
      </w:r>
      <w:r w:rsidR="0029111E" w:rsidRPr="0043623A">
        <w:rPr>
          <w:rFonts w:ascii="Times New Roman" w:hAnsi="Times New Roman" w:cs="Times New Roman"/>
          <w:color w:val="000000" w:themeColor="text1"/>
        </w:rPr>
        <w:t xml:space="preserve"> </w:t>
      </w:r>
      <w:r w:rsidR="008D09B5" w:rsidRPr="0043623A">
        <w:rPr>
          <w:rFonts w:ascii="Times New Roman" w:hAnsi="Times New Roman" w:cs="Times New Roman"/>
          <w:color w:val="000000" w:themeColor="text1"/>
        </w:rPr>
        <w:t>mentre ∑T</w:t>
      </w:r>
      <w:r w:rsidR="0029111E" w:rsidRPr="0043623A">
        <w:rPr>
          <w:rFonts w:ascii="Times New Roman" w:hAnsi="Times New Roman" w:cs="Times New Roman"/>
          <w:color w:val="000000" w:themeColor="text1"/>
        </w:rPr>
        <w:t xml:space="preserve">a-1 = </w:t>
      </w:r>
      <w:r w:rsidR="00E143F7" w:rsidRPr="0043623A">
        <w:rPr>
          <w:rFonts w:ascii="Times New Roman" w:hAnsi="Times New Roman" w:cs="Times New Roman"/>
          <w:color w:val="000000" w:themeColor="text1"/>
        </w:rPr>
        <w:t>5</w:t>
      </w:r>
      <w:r w:rsidR="00975862" w:rsidRPr="0043623A">
        <w:rPr>
          <w:rFonts w:ascii="Times New Roman" w:hAnsi="Times New Roman" w:cs="Times New Roman"/>
          <w:color w:val="000000" w:themeColor="text1"/>
        </w:rPr>
        <w:t>.</w:t>
      </w:r>
      <w:r w:rsidR="00E143F7" w:rsidRPr="0043623A">
        <w:rPr>
          <w:rFonts w:ascii="Times New Roman" w:hAnsi="Times New Roman" w:cs="Times New Roman"/>
          <w:color w:val="000000" w:themeColor="text1"/>
        </w:rPr>
        <w:t>8</w:t>
      </w:r>
      <w:r w:rsidR="00FF75FC" w:rsidRPr="0043623A">
        <w:rPr>
          <w:rFonts w:ascii="Times New Roman" w:hAnsi="Times New Roman" w:cs="Times New Roman"/>
          <w:color w:val="000000" w:themeColor="text1"/>
        </w:rPr>
        <w:t>36</w:t>
      </w:r>
      <w:r w:rsidR="0029111E" w:rsidRPr="0043623A">
        <w:rPr>
          <w:rFonts w:ascii="Times New Roman" w:hAnsi="Times New Roman" w:cs="Times New Roman"/>
          <w:color w:val="000000" w:themeColor="text1"/>
        </w:rPr>
        <w:t>.</w:t>
      </w:r>
      <w:r w:rsidR="00FF75FC" w:rsidRPr="0043623A">
        <w:rPr>
          <w:rFonts w:ascii="Times New Roman" w:hAnsi="Times New Roman" w:cs="Times New Roman"/>
          <w:color w:val="000000" w:themeColor="text1"/>
        </w:rPr>
        <w:t>260</w:t>
      </w:r>
      <w:r w:rsidR="0029111E" w:rsidRPr="0043623A">
        <w:rPr>
          <w:rFonts w:ascii="Times New Roman" w:hAnsi="Times New Roman" w:cs="Times New Roman"/>
          <w:color w:val="000000" w:themeColor="text1"/>
        </w:rPr>
        <w:t>,</w:t>
      </w:r>
      <w:r w:rsidR="00FF75FC" w:rsidRPr="0043623A">
        <w:rPr>
          <w:rFonts w:ascii="Times New Roman" w:hAnsi="Times New Roman" w:cs="Times New Roman"/>
          <w:color w:val="000000" w:themeColor="text1"/>
        </w:rPr>
        <w:t>00</w:t>
      </w:r>
      <w:r w:rsidR="0029111E" w:rsidRPr="0043623A">
        <w:rPr>
          <w:rFonts w:ascii="Times New Roman" w:hAnsi="Times New Roman" w:cs="Times New Roman"/>
          <w:color w:val="000000" w:themeColor="text1"/>
        </w:rPr>
        <w:t xml:space="preserve">) </w:t>
      </w:r>
      <w:r w:rsidR="00FA304A" w:rsidRPr="0043623A">
        <w:rPr>
          <w:rFonts w:ascii="Times New Roman" w:hAnsi="Times New Roman" w:cs="Times New Roman"/>
          <w:color w:val="000000" w:themeColor="text1"/>
        </w:rPr>
        <w:t xml:space="preserve">e pertanto inferiore al valore limite calcolato </w:t>
      </w:r>
      <w:r w:rsidR="00E143F7" w:rsidRPr="0043623A">
        <w:rPr>
          <w:rFonts w:ascii="Times New Roman" w:hAnsi="Times New Roman" w:cs="Times New Roman"/>
          <w:b/>
          <w:color w:val="000000" w:themeColor="text1"/>
        </w:rPr>
        <w:t>1</w:t>
      </w:r>
      <w:r w:rsidR="00FA304A" w:rsidRPr="0043623A">
        <w:rPr>
          <w:rFonts w:ascii="Times New Roman" w:hAnsi="Times New Roman" w:cs="Times New Roman"/>
          <w:b/>
          <w:color w:val="000000" w:themeColor="text1"/>
        </w:rPr>
        <w:t>,</w:t>
      </w:r>
      <w:r w:rsidR="00E143F7" w:rsidRPr="0043623A">
        <w:rPr>
          <w:rFonts w:ascii="Times New Roman" w:hAnsi="Times New Roman" w:cs="Times New Roman"/>
          <w:b/>
          <w:color w:val="000000" w:themeColor="text1"/>
        </w:rPr>
        <w:t>016</w:t>
      </w:r>
      <w:r w:rsidR="00FA304A" w:rsidRPr="0043623A">
        <w:rPr>
          <w:rFonts w:ascii="Times New Roman" w:hAnsi="Times New Roman" w:cs="Times New Roman"/>
          <w:color w:val="000000" w:themeColor="text1"/>
        </w:rPr>
        <w:t>.</w:t>
      </w:r>
    </w:p>
    <w:p w14:paraId="673DC30B" w14:textId="3096447A" w:rsidR="00FA178F" w:rsidRPr="00DF6375" w:rsidRDefault="00DF6375" w:rsidP="0056501F">
      <w:pPr>
        <w:pStyle w:val="Titolo2"/>
        <w:rPr>
          <w:rFonts w:ascii="Times New Roman" w:hAnsi="Times New Roman" w:cs="Times New Roman"/>
          <w:szCs w:val="22"/>
        </w:rPr>
      </w:pPr>
      <w:bookmarkStart w:id="25" w:name="_Toc71740624"/>
      <w:r w:rsidRPr="00DF6375">
        <w:rPr>
          <w:rFonts w:ascii="Times New Roman" w:hAnsi="Times New Roman" w:cs="Times New Roman"/>
          <w:szCs w:val="22"/>
        </w:rPr>
        <w:t>Costi Operativi Incentivanti</w:t>
      </w:r>
      <w:bookmarkEnd w:id="25"/>
    </w:p>
    <w:p w14:paraId="40F20FB5" w14:textId="663ED8D5" w:rsidR="00DC1B69" w:rsidRPr="00DF6375" w:rsidRDefault="007B44D0" w:rsidP="00FA178F">
      <w:pPr>
        <w:rPr>
          <w:rFonts w:ascii="Times New Roman" w:hAnsi="Times New Roman" w:cs="Times New Roman"/>
        </w:rPr>
      </w:pPr>
      <w:r w:rsidRPr="00DF6375">
        <w:rPr>
          <w:rFonts w:ascii="Times New Roman" w:hAnsi="Times New Roman" w:cs="Times New Roman"/>
        </w:rPr>
        <w:t>Il Comune di O</w:t>
      </w:r>
      <w:r w:rsidR="00DF6375" w:rsidRPr="00DF6375">
        <w:rPr>
          <w:rFonts w:ascii="Times New Roman" w:hAnsi="Times New Roman" w:cs="Times New Roman"/>
        </w:rPr>
        <w:t>r</w:t>
      </w:r>
      <w:r w:rsidRPr="00DF6375">
        <w:rPr>
          <w:rFonts w:ascii="Times New Roman" w:hAnsi="Times New Roman" w:cs="Times New Roman"/>
        </w:rPr>
        <w:t>istano non ha previsto l’introduzione delle componenti di costo di natura previsionale.</w:t>
      </w:r>
    </w:p>
    <w:p w14:paraId="13F15739" w14:textId="77777777" w:rsidR="007D5BBD" w:rsidRPr="00DF6375" w:rsidRDefault="007D5BBD" w:rsidP="0056501F">
      <w:pPr>
        <w:pStyle w:val="Titolo2"/>
        <w:rPr>
          <w:rFonts w:ascii="Times New Roman" w:hAnsi="Times New Roman" w:cs="Times New Roman"/>
          <w:szCs w:val="22"/>
        </w:rPr>
      </w:pPr>
      <w:bookmarkStart w:id="26" w:name="_Toc71740625"/>
      <w:r w:rsidRPr="00DF6375">
        <w:rPr>
          <w:rFonts w:ascii="Times New Roman" w:hAnsi="Times New Roman" w:cs="Times New Roman"/>
          <w:szCs w:val="22"/>
        </w:rPr>
        <w:t>Eventuale superamento del limite alla crescita annuale delle entrate tariffarie</w:t>
      </w:r>
      <w:bookmarkEnd w:id="26"/>
      <w:r w:rsidRPr="00DF6375">
        <w:rPr>
          <w:rFonts w:ascii="Times New Roman" w:hAnsi="Times New Roman" w:cs="Times New Roman"/>
          <w:szCs w:val="22"/>
        </w:rPr>
        <w:t xml:space="preserve"> </w:t>
      </w:r>
    </w:p>
    <w:p w14:paraId="1709D10F" w14:textId="432970B5" w:rsidR="007D5BBD" w:rsidRPr="00DF6375" w:rsidRDefault="007B44D0" w:rsidP="007D5BBD">
      <w:pPr>
        <w:rPr>
          <w:rFonts w:ascii="Times New Roman" w:hAnsi="Times New Roman" w:cs="Times New Roman"/>
        </w:rPr>
      </w:pPr>
      <w:r w:rsidRPr="00DF6375">
        <w:rPr>
          <w:rFonts w:ascii="Times New Roman" w:hAnsi="Times New Roman" w:cs="Times New Roman"/>
        </w:rPr>
        <w:t>Il Comune di Oristano non ha previsto il processo di integrazione delle attività gestite.</w:t>
      </w:r>
    </w:p>
    <w:p w14:paraId="784ACC6E" w14:textId="6CA7AABA" w:rsidR="000F2067" w:rsidRPr="00DF6375" w:rsidRDefault="00DF6375" w:rsidP="0056501F">
      <w:pPr>
        <w:pStyle w:val="Titolo2"/>
        <w:rPr>
          <w:rFonts w:ascii="Times New Roman" w:hAnsi="Times New Roman" w:cs="Times New Roman"/>
          <w:szCs w:val="22"/>
        </w:rPr>
      </w:pPr>
      <w:bookmarkStart w:id="27" w:name="_Toc71740626"/>
      <w:r w:rsidRPr="00DF6375">
        <w:rPr>
          <w:rFonts w:ascii="Times New Roman" w:hAnsi="Times New Roman" w:cs="Times New Roman"/>
          <w:szCs w:val="22"/>
        </w:rPr>
        <w:t>Scelta Degli Ulteriori Parametri</w:t>
      </w:r>
      <w:bookmarkEnd w:id="27"/>
    </w:p>
    <w:bookmarkEnd w:id="23"/>
    <w:p w14:paraId="1E677925" w14:textId="232E2F7C" w:rsidR="00DF6375" w:rsidRPr="00DF6375" w:rsidRDefault="00DF6375" w:rsidP="00EB3D31">
      <w:pPr>
        <w:rPr>
          <w:rFonts w:ascii="Times New Roman" w:hAnsi="Times New Roman" w:cs="Times New Roman"/>
        </w:rPr>
      </w:pPr>
      <w:r w:rsidRPr="00EB3D31">
        <w:rPr>
          <w:rFonts w:ascii="Times New Roman" w:hAnsi="Times New Roman" w:cs="Times New Roman"/>
        </w:rPr>
        <w:t xml:space="preserve">Sono state inserite le </w:t>
      </w:r>
      <w:r w:rsidRPr="00DF6375">
        <w:rPr>
          <w:rFonts w:ascii="Times New Roman" w:hAnsi="Times New Roman" w:cs="Times New Roman"/>
        </w:rPr>
        <w:t>AGEVOLAZIONI COV</w:t>
      </w:r>
      <w:r w:rsidRPr="00EB3D31">
        <w:rPr>
          <w:rFonts w:ascii="Times New Roman" w:hAnsi="Times New Roman" w:cs="Times New Roman"/>
        </w:rPr>
        <w:t>ID per le utenze non domestiche</w:t>
      </w:r>
      <w:r w:rsidRPr="00DF6375">
        <w:rPr>
          <w:rFonts w:ascii="Times New Roman" w:hAnsi="Times New Roman" w:cs="Times New Roman"/>
        </w:rPr>
        <w:t xml:space="preserve"> pari a € 33.416,38</w:t>
      </w:r>
      <w:r w:rsidRPr="00EB3D31">
        <w:rPr>
          <w:rFonts w:ascii="Times New Roman" w:hAnsi="Times New Roman" w:cs="Times New Roman"/>
        </w:rPr>
        <w:t xml:space="preserve"> </w:t>
      </w:r>
      <w:r w:rsidRPr="00DF6375">
        <w:rPr>
          <w:rFonts w:ascii="Times New Roman" w:hAnsi="Times New Roman" w:cs="Times New Roman"/>
        </w:rPr>
        <w:t>come voce RCNDTV (spalm</w:t>
      </w:r>
      <w:r w:rsidRPr="00EB3D31">
        <w:rPr>
          <w:rFonts w:ascii="Times New Roman" w:hAnsi="Times New Roman" w:cs="Times New Roman"/>
        </w:rPr>
        <w:t xml:space="preserve">abile fino a 3 rate in 3 anni) </w:t>
      </w:r>
      <w:r w:rsidRPr="00DF6375">
        <w:rPr>
          <w:rFonts w:ascii="Times New Roman" w:hAnsi="Times New Roman" w:cs="Times New Roman"/>
        </w:rPr>
        <w:t>aggiun</w:t>
      </w:r>
      <w:r w:rsidRPr="00EB3D31">
        <w:rPr>
          <w:rFonts w:ascii="Times New Roman" w:hAnsi="Times New Roman" w:cs="Times New Roman"/>
        </w:rPr>
        <w:t>to</w:t>
      </w:r>
      <w:r w:rsidRPr="00DF6375">
        <w:rPr>
          <w:rFonts w:ascii="Times New Roman" w:hAnsi="Times New Roman" w:cs="Times New Roman"/>
        </w:rPr>
        <w:t xml:space="preserve"> come costo in una unica rata</w:t>
      </w:r>
      <w:r w:rsidRPr="00EB3D31">
        <w:rPr>
          <w:rFonts w:ascii="Times New Roman" w:hAnsi="Times New Roman" w:cs="Times New Roman"/>
        </w:rPr>
        <w:t>.</w:t>
      </w:r>
    </w:p>
    <w:p w14:paraId="22539979" w14:textId="77777777" w:rsidR="001F5519" w:rsidRPr="00600379" w:rsidRDefault="001F5519" w:rsidP="004B727F">
      <w:pPr>
        <w:autoSpaceDE w:val="0"/>
        <w:autoSpaceDN w:val="0"/>
        <w:adjustRightInd w:val="0"/>
        <w:spacing w:after="0" w:line="240" w:lineRule="auto"/>
        <w:rPr>
          <w:rFonts w:ascii="Times New Roman" w:hAnsi="Times New Roman" w:cs="Times New Roman"/>
          <w:sz w:val="24"/>
          <w:szCs w:val="24"/>
        </w:rPr>
      </w:pPr>
    </w:p>
    <w:sectPr w:rsidR="001F5519" w:rsidRPr="00600379" w:rsidSect="0056501F">
      <w:headerReference w:type="default" r:id="rId9"/>
      <w:footerReference w:type="default" r:id="rId10"/>
      <w:pgSz w:w="11906" w:h="16838"/>
      <w:pgMar w:top="1417" w:right="1134" w:bottom="1134" w:left="1134" w:header="708" w:footer="8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B3A6" w14:textId="77777777" w:rsidR="008D39F3" w:rsidRDefault="008D39F3" w:rsidP="00D808AB">
      <w:pPr>
        <w:spacing w:after="0" w:line="240" w:lineRule="auto"/>
      </w:pPr>
      <w:r>
        <w:separator/>
      </w:r>
    </w:p>
  </w:endnote>
  <w:endnote w:type="continuationSeparator" w:id="0">
    <w:p w14:paraId="63134FB1" w14:textId="77777777" w:rsidR="008D39F3" w:rsidRDefault="008D39F3" w:rsidP="00D8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009483"/>
      <w:docPartObj>
        <w:docPartGallery w:val="Page Numbers (Bottom of Page)"/>
        <w:docPartUnique/>
      </w:docPartObj>
    </w:sdtPr>
    <w:sdtEndPr/>
    <w:sdtContent>
      <w:p w14:paraId="10485B26" w14:textId="45FEF19A" w:rsidR="007C3137" w:rsidRDefault="007C3137">
        <w:pPr>
          <w:pStyle w:val="Pidipagina"/>
          <w:jc w:val="center"/>
        </w:pPr>
        <w:r>
          <w:fldChar w:fldCharType="begin"/>
        </w:r>
        <w:r>
          <w:instrText>PAGE   \* MERGEFORMAT</w:instrText>
        </w:r>
        <w:r>
          <w:fldChar w:fldCharType="separate"/>
        </w:r>
        <w:r w:rsidR="0043623A">
          <w:rPr>
            <w:noProof/>
          </w:rPr>
          <w:t>1</w:t>
        </w:r>
        <w:r>
          <w:fldChar w:fldCharType="end"/>
        </w:r>
      </w:p>
    </w:sdtContent>
  </w:sdt>
  <w:p w14:paraId="762A4372" w14:textId="77777777" w:rsidR="007C3137" w:rsidRDefault="007C3137" w:rsidP="0056501F">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A050B" w14:textId="77777777" w:rsidR="008D39F3" w:rsidRDefault="008D39F3" w:rsidP="00D808AB">
      <w:pPr>
        <w:spacing w:after="0" w:line="240" w:lineRule="auto"/>
      </w:pPr>
      <w:r>
        <w:separator/>
      </w:r>
    </w:p>
  </w:footnote>
  <w:footnote w:type="continuationSeparator" w:id="0">
    <w:p w14:paraId="08B3A6BE" w14:textId="77777777" w:rsidR="008D39F3" w:rsidRDefault="008D39F3" w:rsidP="00D80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5FB2" w14:textId="28FCA5D9" w:rsidR="007C3137" w:rsidRDefault="007C3137" w:rsidP="00F44937">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14DE3"/>
    <w:multiLevelType w:val="hybridMultilevel"/>
    <w:tmpl w:val="6CB01916"/>
    <w:lvl w:ilvl="0" w:tplc="1536251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D771F"/>
    <w:multiLevelType w:val="hybridMultilevel"/>
    <w:tmpl w:val="6968318A"/>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3" w15:restartNumberingAfterBreak="0">
    <w:nsid w:val="05B04F7D"/>
    <w:multiLevelType w:val="hybridMultilevel"/>
    <w:tmpl w:val="6FA2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E16065"/>
    <w:multiLevelType w:val="hybridMultilevel"/>
    <w:tmpl w:val="786680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EE23A6"/>
    <w:multiLevelType w:val="hybridMultilevel"/>
    <w:tmpl w:val="897CFC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9443ED"/>
    <w:multiLevelType w:val="hybridMultilevel"/>
    <w:tmpl w:val="54526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7865ED"/>
    <w:multiLevelType w:val="multilevel"/>
    <w:tmpl w:val="7458CE50"/>
    <w:lvl w:ilvl="0">
      <w:start w:val="4"/>
      <w:numFmt w:val="decimal"/>
      <w:suff w:val="space"/>
      <w:lvlText w:val="%1 -"/>
      <w:lvlJc w:val="left"/>
      <w:pPr>
        <w:ind w:left="0" w:firstLine="0"/>
      </w:pPr>
      <w:rPr>
        <w:rFonts w:hint="default"/>
      </w:rPr>
    </w:lvl>
    <w:lvl w:ilvl="1">
      <w:start w:val="1"/>
      <w:numFmt w:val="decimal"/>
      <w:suff w:val="space"/>
      <w:lvlText w:val="%1.%2"/>
      <w:lvlJc w:val="left"/>
      <w:pPr>
        <w:ind w:left="1418"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203EF9"/>
    <w:multiLevelType w:val="multilevel"/>
    <w:tmpl w:val="B5A8812A"/>
    <w:lvl w:ilvl="0">
      <w:start w:val="1"/>
      <w:numFmt w:val="decimal"/>
      <w:suff w:val="space"/>
      <w:lvlText w:val="%1 -"/>
      <w:lvlJc w:val="left"/>
      <w:pPr>
        <w:ind w:left="0" w:firstLine="0"/>
      </w:pPr>
    </w:lvl>
    <w:lvl w:ilvl="1">
      <w:start w:val="1"/>
      <w:numFmt w:val="decimal"/>
      <w:suff w:val="space"/>
      <w:lvlText w:val="%1.%2"/>
      <w:lvlJc w:val="left"/>
      <w:pPr>
        <w:ind w:left="1418" w:firstLine="0"/>
      </w:pPr>
    </w:lvl>
    <w:lvl w:ilvl="2">
      <w:start w:val="1"/>
      <w:numFmt w:val="decimal"/>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72240F1"/>
    <w:multiLevelType w:val="hybridMultilevel"/>
    <w:tmpl w:val="BD0C10A6"/>
    <w:lvl w:ilvl="0" w:tplc="3DD6C2B2">
      <w:numFmt w:val="bullet"/>
      <w:lvlText w:val="-"/>
      <w:lvlJc w:val="left"/>
      <w:pPr>
        <w:ind w:left="1069" w:hanging="360"/>
      </w:pPr>
      <w:rPr>
        <w:rFonts w:ascii="Tahoma" w:eastAsia="Times New Roman" w:hAnsi="Tahoma"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391C22B4"/>
    <w:multiLevelType w:val="hybridMultilevel"/>
    <w:tmpl w:val="968E2CA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3E725E5F"/>
    <w:multiLevelType w:val="multilevel"/>
    <w:tmpl w:val="1D2EC64C"/>
    <w:lvl w:ilvl="0">
      <w:start w:val="1"/>
      <w:numFmt w:val="decimal"/>
      <w:pStyle w:val="Titolo1"/>
      <w:lvlText w:val="%1"/>
      <w:lvlJc w:val="left"/>
      <w:pPr>
        <w:ind w:left="432" w:hanging="432"/>
      </w:pPr>
      <w:rPr>
        <w:rFonts w:hint="default"/>
      </w:rPr>
    </w:lvl>
    <w:lvl w:ilvl="1">
      <w:start w:val="4"/>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434"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2" w15:restartNumberingAfterBreak="0">
    <w:nsid w:val="40791BAA"/>
    <w:multiLevelType w:val="multilevel"/>
    <w:tmpl w:val="742E9482"/>
    <w:lvl w:ilvl="0">
      <w:start w:val="1"/>
      <w:numFmt w:val="decimal"/>
      <w:lvlText w:val="%1"/>
      <w:lvlJc w:val="left"/>
      <w:pPr>
        <w:tabs>
          <w:tab w:val="num" w:pos="432"/>
        </w:tabs>
        <w:ind w:left="432" w:hanging="432"/>
      </w:pPr>
    </w:lvl>
    <w:lvl w:ilvl="1">
      <w:start w:val="1"/>
      <w:numFmt w:val="decimal"/>
      <w:lvlText w:val="%1.%2"/>
      <w:lvlJc w:val="left"/>
      <w:pPr>
        <w:tabs>
          <w:tab w:val="num" w:pos="1144"/>
        </w:tabs>
        <w:ind w:left="1144"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31B332C"/>
    <w:multiLevelType w:val="multilevel"/>
    <w:tmpl w:val="B5A8812A"/>
    <w:lvl w:ilvl="0">
      <w:start w:val="1"/>
      <w:numFmt w:val="decimal"/>
      <w:suff w:val="space"/>
      <w:lvlText w:val="%1 -"/>
      <w:lvlJc w:val="left"/>
      <w:pPr>
        <w:ind w:left="0" w:firstLine="0"/>
      </w:pPr>
    </w:lvl>
    <w:lvl w:ilvl="1">
      <w:start w:val="1"/>
      <w:numFmt w:val="decimal"/>
      <w:suff w:val="space"/>
      <w:lvlText w:val="%1.%2"/>
      <w:lvlJc w:val="left"/>
      <w:pPr>
        <w:ind w:left="1418" w:firstLine="0"/>
      </w:pPr>
    </w:lvl>
    <w:lvl w:ilvl="2">
      <w:start w:val="1"/>
      <w:numFmt w:val="decimal"/>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8FF2313"/>
    <w:multiLevelType w:val="hybridMultilevel"/>
    <w:tmpl w:val="6BEEF9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283984"/>
    <w:multiLevelType w:val="hybridMultilevel"/>
    <w:tmpl w:val="AE3017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C94C03"/>
    <w:multiLevelType w:val="hybridMultilevel"/>
    <w:tmpl w:val="96083C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56542E6"/>
    <w:multiLevelType w:val="hybridMultilevel"/>
    <w:tmpl w:val="8CA6584E"/>
    <w:lvl w:ilvl="0" w:tplc="04100009">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8" w15:restartNumberingAfterBreak="0">
    <w:nsid w:val="5B7B45E6"/>
    <w:multiLevelType w:val="hybridMultilevel"/>
    <w:tmpl w:val="AAC26F52"/>
    <w:lvl w:ilvl="0" w:tplc="A61AD97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747426"/>
    <w:multiLevelType w:val="hybridMultilevel"/>
    <w:tmpl w:val="4DC85F22"/>
    <w:lvl w:ilvl="0" w:tplc="1536251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F37D4D"/>
    <w:multiLevelType w:val="hybridMultilevel"/>
    <w:tmpl w:val="9EB870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861182"/>
    <w:multiLevelType w:val="hybridMultilevel"/>
    <w:tmpl w:val="985C7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F44618"/>
    <w:multiLevelType w:val="hybridMultilevel"/>
    <w:tmpl w:val="FD0C75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5A29FA"/>
    <w:multiLevelType w:val="hybridMultilevel"/>
    <w:tmpl w:val="2A6CE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700516"/>
    <w:multiLevelType w:val="multilevel"/>
    <w:tmpl w:val="B5A8812A"/>
    <w:lvl w:ilvl="0">
      <w:start w:val="1"/>
      <w:numFmt w:val="decimal"/>
      <w:suff w:val="space"/>
      <w:lvlText w:val="%1 -"/>
      <w:lvlJc w:val="left"/>
      <w:pPr>
        <w:ind w:left="0" w:firstLine="0"/>
      </w:pPr>
    </w:lvl>
    <w:lvl w:ilvl="1">
      <w:start w:val="1"/>
      <w:numFmt w:val="decimal"/>
      <w:suff w:val="space"/>
      <w:lvlText w:val="%1.%2"/>
      <w:lvlJc w:val="left"/>
      <w:pPr>
        <w:ind w:left="1418" w:firstLine="0"/>
      </w:pPr>
    </w:lvl>
    <w:lvl w:ilvl="2">
      <w:start w:val="1"/>
      <w:numFmt w:val="decimal"/>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986683D"/>
    <w:multiLevelType w:val="hybridMultilevel"/>
    <w:tmpl w:val="2D16F10C"/>
    <w:lvl w:ilvl="0" w:tplc="1536251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F30CA9"/>
    <w:multiLevelType w:val="hybridMultilevel"/>
    <w:tmpl w:val="A1C6C376"/>
    <w:lvl w:ilvl="0" w:tplc="5484C81A">
      <w:start w:val="1"/>
      <w:numFmt w:val="bullet"/>
      <w:lvlText w:val="-"/>
      <w:lvlJc w:val="left"/>
      <w:pPr>
        <w:ind w:left="360" w:hanging="360"/>
      </w:pPr>
      <w:rPr>
        <w:rFonts w:ascii="Arial" w:hAnsi="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cs="Times New Roman" w:hint="default"/>
        <w:b/>
        <w:i w:val="0"/>
        <w:sz w:val="24"/>
      </w:rPr>
    </w:lvl>
    <w:lvl w:ilvl="1">
      <w:start w:val="1"/>
      <w:numFmt w:val="decimal"/>
      <w:pStyle w:val="capitoli"/>
      <w:suff w:val="space"/>
      <w:lvlText w:val="Capitolo %2"/>
      <w:lvlJc w:val="left"/>
      <w:pPr>
        <w:ind w:left="0" w:firstLine="0"/>
      </w:pPr>
      <w:rPr>
        <w:rFonts w:ascii="Times New Roman" w:hAnsi="Times New Roman" w:cs="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lvl>
    <w:lvl w:ilvl="4">
      <w:start w:val="1"/>
      <w:numFmt w:val="decimal"/>
      <w:pStyle w:val="commi"/>
      <w:lvlText w:val="%3.%5"/>
      <w:lvlJc w:val="left"/>
      <w:pPr>
        <w:tabs>
          <w:tab w:val="num" w:pos="567"/>
        </w:tabs>
        <w:ind w:left="567" w:hanging="567"/>
      </w:pPr>
      <w:rPr>
        <w:b w:val="0"/>
        <w:color w:val="auto"/>
      </w:rPr>
    </w:lvl>
    <w:lvl w:ilvl="5">
      <w:start w:val="1"/>
      <w:numFmt w:val="lowerLetter"/>
      <w:pStyle w:val="elencoarabo"/>
      <w:lvlText w:val="%6)"/>
      <w:lvlJc w:val="left"/>
      <w:pPr>
        <w:tabs>
          <w:tab w:val="num" w:pos="1277"/>
        </w:tabs>
        <w:ind w:left="1277" w:hanging="567"/>
      </w:pPr>
    </w:lvl>
    <w:lvl w:ilvl="6">
      <w:start w:val="1"/>
      <w:numFmt w:val="lowerRoman"/>
      <w:pStyle w:val="elencoromano"/>
      <w:lvlText w:val="%7)"/>
      <w:lvlJc w:val="left"/>
      <w:pPr>
        <w:tabs>
          <w:tab w:val="num" w:pos="1854"/>
        </w:tabs>
        <w:ind w:left="1418" w:hanging="284"/>
      </w:pPr>
    </w:lvl>
    <w:lvl w:ilvl="7">
      <w:start w:val="1"/>
      <w:numFmt w:val="decimal"/>
      <w:pStyle w:val="elenconumeri"/>
      <w:lvlText w:val="%8)"/>
      <w:lvlJc w:val="left"/>
      <w:pPr>
        <w:tabs>
          <w:tab w:val="num" w:pos="1494"/>
        </w:tabs>
        <w:ind w:left="1418" w:hanging="284"/>
      </w:pPr>
    </w:lvl>
    <w:lvl w:ilvl="8">
      <w:start w:val="1"/>
      <w:numFmt w:val="none"/>
      <w:lvlText w:val=""/>
      <w:lvlJc w:val="left"/>
      <w:pPr>
        <w:tabs>
          <w:tab w:val="num" w:pos="1584"/>
        </w:tabs>
        <w:ind w:left="1584" w:hanging="1584"/>
      </w:pPr>
    </w:lvl>
  </w:abstractNum>
  <w:abstractNum w:abstractNumId="28" w15:restartNumberingAfterBreak="0">
    <w:nsid w:val="7E80449A"/>
    <w:multiLevelType w:val="hybridMultilevel"/>
    <w:tmpl w:val="18FE07E6"/>
    <w:lvl w:ilvl="0" w:tplc="DC1A7AD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1"/>
  </w:num>
  <w:num w:numId="4">
    <w:abstractNumId w:val="10"/>
  </w:num>
  <w:num w:numId="5">
    <w:abstractNumId w:val="2"/>
  </w:num>
  <w:num w:numId="6">
    <w:abstractNumId w:val="4"/>
  </w:num>
  <w:num w:numId="7">
    <w:abstractNumId w:val="26"/>
  </w:num>
  <w:num w:numId="8">
    <w:abstractNumId w:val="17"/>
  </w:num>
  <w:num w:numId="9">
    <w:abstractNumId w:val="22"/>
  </w:num>
  <w:num w:numId="10">
    <w:abstractNumId w:val="23"/>
  </w:num>
  <w:num w:numId="11">
    <w:abstractNumId w:val="5"/>
  </w:num>
  <w:num w:numId="12">
    <w:abstractNumId w:val="18"/>
  </w:num>
  <w:num w:numId="13">
    <w:abstractNumId w:val="13"/>
  </w:num>
  <w:num w:numId="14">
    <w:abstractNumId w:val="14"/>
  </w:num>
  <w:num w:numId="15">
    <w:abstractNumId w:val="20"/>
  </w:num>
  <w:num w:numId="16">
    <w:abstractNumId w:val="9"/>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8"/>
  </w:num>
  <w:num w:numId="21">
    <w:abstractNumId w:val="7"/>
  </w:num>
  <w:num w:numId="22">
    <w:abstractNumId w:val="16"/>
  </w:num>
  <w:num w:numId="23">
    <w:abstractNumId w:val="11"/>
  </w:num>
  <w:num w:numId="2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num>
  <w:num w:numId="27">
    <w:abstractNumId w:val="1"/>
  </w:num>
  <w:num w:numId="28">
    <w:abstractNumId w:val="19"/>
  </w:num>
  <w:num w:numId="29">
    <w:abstractNumId w:val="25"/>
  </w:num>
  <w:num w:numId="30">
    <w:abstractNumId w:val="6"/>
  </w:num>
  <w:num w:numId="31">
    <w:abstractNumId w:val="28"/>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AB"/>
    <w:rsid w:val="000022C1"/>
    <w:rsid w:val="00003243"/>
    <w:rsid w:val="000049B6"/>
    <w:rsid w:val="00005502"/>
    <w:rsid w:val="00013C5F"/>
    <w:rsid w:val="0001566A"/>
    <w:rsid w:val="0001686D"/>
    <w:rsid w:val="00023C05"/>
    <w:rsid w:val="000244AF"/>
    <w:rsid w:val="0003062C"/>
    <w:rsid w:val="00031137"/>
    <w:rsid w:val="00034AC9"/>
    <w:rsid w:val="00036EF9"/>
    <w:rsid w:val="0004080E"/>
    <w:rsid w:val="00042EE4"/>
    <w:rsid w:val="00043B71"/>
    <w:rsid w:val="000508AC"/>
    <w:rsid w:val="000575DF"/>
    <w:rsid w:val="00057975"/>
    <w:rsid w:val="00057CC0"/>
    <w:rsid w:val="00060CB0"/>
    <w:rsid w:val="000630F0"/>
    <w:rsid w:val="000652A8"/>
    <w:rsid w:val="0006565F"/>
    <w:rsid w:val="00074C64"/>
    <w:rsid w:val="000764D0"/>
    <w:rsid w:val="0008052F"/>
    <w:rsid w:val="00082AF2"/>
    <w:rsid w:val="000959EA"/>
    <w:rsid w:val="00096991"/>
    <w:rsid w:val="000A1284"/>
    <w:rsid w:val="000A5C71"/>
    <w:rsid w:val="000A5FE2"/>
    <w:rsid w:val="000A7F55"/>
    <w:rsid w:val="000B3287"/>
    <w:rsid w:val="000B4251"/>
    <w:rsid w:val="000B4B2F"/>
    <w:rsid w:val="000B558A"/>
    <w:rsid w:val="000B60AF"/>
    <w:rsid w:val="000C267F"/>
    <w:rsid w:val="000C2715"/>
    <w:rsid w:val="000C46D7"/>
    <w:rsid w:val="000C645A"/>
    <w:rsid w:val="000C7216"/>
    <w:rsid w:val="000D0B66"/>
    <w:rsid w:val="000D2BD9"/>
    <w:rsid w:val="000D58B8"/>
    <w:rsid w:val="000D5C76"/>
    <w:rsid w:val="000D61C5"/>
    <w:rsid w:val="000E24C5"/>
    <w:rsid w:val="000E2EE3"/>
    <w:rsid w:val="000E3E66"/>
    <w:rsid w:val="000E67DF"/>
    <w:rsid w:val="000F0115"/>
    <w:rsid w:val="000F2067"/>
    <w:rsid w:val="000F5010"/>
    <w:rsid w:val="00100F77"/>
    <w:rsid w:val="00101AC1"/>
    <w:rsid w:val="0010415B"/>
    <w:rsid w:val="00106C59"/>
    <w:rsid w:val="00123B64"/>
    <w:rsid w:val="001270AC"/>
    <w:rsid w:val="00134998"/>
    <w:rsid w:val="00143B07"/>
    <w:rsid w:val="00144A53"/>
    <w:rsid w:val="00146079"/>
    <w:rsid w:val="0015073B"/>
    <w:rsid w:val="00151995"/>
    <w:rsid w:val="0015779F"/>
    <w:rsid w:val="00160AA9"/>
    <w:rsid w:val="00161485"/>
    <w:rsid w:val="00162598"/>
    <w:rsid w:val="00162EC9"/>
    <w:rsid w:val="00164163"/>
    <w:rsid w:val="00164224"/>
    <w:rsid w:val="00164D13"/>
    <w:rsid w:val="00176196"/>
    <w:rsid w:val="0017756D"/>
    <w:rsid w:val="001A2196"/>
    <w:rsid w:val="001A620F"/>
    <w:rsid w:val="001B39DD"/>
    <w:rsid w:val="001B3A66"/>
    <w:rsid w:val="001B592B"/>
    <w:rsid w:val="001C29CC"/>
    <w:rsid w:val="001C3513"/>
    <w:rsid w:val="001C5501"/>
    <w:rsid w:val="001C79A2"/>
    <w:rsid w:val="001D2B8E"/>
    <w:rsid w:val="001D3906"/>
    <w:rsid w:val="001D62DE"/>
    <w:rsid w:val="001E0F6E"/>
    <w:rsid w:val="001E1B95"/>
    <w:rsid w:val="001E3204"/>
    <w:rsid w:val="001E5788"/>
    <w:rsid w:val="001E6E10"/>
    <w:rsid w:val="001F203D"/>
    <w:rsid w:val="001F2F46"/>
    <w:rsid w:val="001F390D"/>
    <w:rsid w:val="001F5519"/>
    <w:rsid w:val="001F6CF2"/>
    <w:rsid w:val="001F7732"/>
    <w:rsid w:val="002059FB"/>
    <w:rsid w:val="00211F59"/>
    <w:rsid w:val="002125F4"/>
    <w:rsid w:val="00221BA1"/>
    <w:rsid w:val="00232F29"/>
    <w:rsid w:val="00236413"/>
    <w:rsid w:val="00237540"/>
    <w:rsid w:val="00250981"/>
    <w:rsid w:val="00254D3D"/>
    <w:rsid w:val="0026104F"/>
    <w:rsid w:val="00263D3D"/>
    <w:rsid w:val="00273504"/>
    <w:rsid w:val="00275598"/>
    <w:rsid w:val="00277F06"/>
    <w:rsid w:val="0028255E"/>
    <w:rsid w:val="00284315"/>
    <w:rsid w:val="00284B24"/>
    <w:rsid w:val="0028779A"/>
    <w:rsid w:val="00287EA6"/>
    <w:rsid w:val="0029111E"/>
    <w:rsid w:val="002A372F"/>
    <w:rsid w:val="002A4DB7"/>
    <w:rsid w:val="002A7673"/>
    <w:rsid w:val="002C0E87"/>
    <w:rsid w:val="002C1517"/>
    <w:rsid w:val="002D4A57"/>
    <w:rsid w:val="002D61AA"/>
    <w:rsid w:val="002E00C0"/>
    <w:rsid w:val="002E490B"/>
    <w:rsid w:val="002F08A2"/>
    <w:rsid w:val="002F655B"/>
    <w:rsid w:val="0030243D"/>
    <w:rsid w:val="0030280D"/>
    <w:rsid w:val="003039C6"/>
    <w:rsid w:val="00317FC0"/>
    <w:rsid w:val="00321528"/>
    <w:rsid w:val="003222A9"/>
    <w:rsid w:val="003327A7"/>
    <w:rsid w:val="00333510"/>
    <w:rsid w:val="00333A30"/>
    <w:rsid w:val="00334884"/>
    <w:rsid w:val="0035321B"/>
    <w:rsid w:val="00353413"/>
    <w:rsid w:val="003556C0"/>
    <w:rsid w:val="003677FE"/>
    <w:rsid w:val="00375E9D"/>
    <w:rsid w:val="00377EEA"/>
    <w:rsid w:val="00387CD8"/>
    <w:rsid w:val="00392982"/>
    <w:rsid w:val="003A478C"/>
    <w:rsid w:val="003A493E"/>
    <w:rsid w:val="003A4F73"/>
    <w:rsid w:val="003A682D"/>
    <w:rsid w:val="003B1224"/>
    <w:rsid w:val="003B6C90"/>
    <w:rsid w:val="003C4AD2"/>
    <w:rsid w:val="003C50CB"/>
    <w:rsid w:val="003D19B2"/>
    <w:rsid w:val="003D3551"/>
    <w:rsid w:val="003D4D75"/>
    <w:rsid w:val="003D6F0B"/>
    <w:rsid w:val="003D7126"/>
    <w:rsid w:val="003E28F1"/>
    <w:rsid w:val="003F3CC1"/>
    <w:rsid w:val="003F4642"/>
    <w:rsid w:val="003F65F4"/>
    <w:rsid w:val="004027D0"/>
    <w:rsid w:val="00405113"/>
    <w:rsid w:val="0041708D"/>
    <w:rsid w:val="004317DA"/>
    <w:rsid w:val="00433640"/>
    <w:rsid w:val="00434733"/>
    <w:rsid w:val="0043623A"/>
    <w:rsid w:val="00440875"/>
    <w:rsid w:val="00442F0D"/>
    <w:rsid w:val="004459FF"/>
    <w:rsid w:val="004461E0"/>
    <w:rsid w:val="004627BE"/>
    <w:rsid w:val="00462EF4"/>
    <w:rsid w:val="00471F2A"/>
    <w:rsid w:val="00475267"/>
    <w:rsid w:val="00482D92"/>
    <w:rsid w:val="0048326E"/>
    <w:rsid w:val="004873B5"/>
    <w:rsid w:val="004879BC"/>
    <w:rsid w:val="004A40C7"/>
    <w:rsid w:val="004A51FA"/>
    <w:rsid w:val="004B65DF"/>
    <w:rsid w:val="004B727F"/>
    <w:rsid w:val="004C08B0"/>
    <w:rsid w:val="004D1DB7"/>
    <w:rsid w:val="004D674C"/>
    <w:rsid w:val="004E1049"/>
    <w:rsid w:val="004E22E8"/>
    <w:rsid w:val="004E3DA0"/>
    <w:rsid w:val="004E3DE4"/>
    <w:rsid w:val="004E5CE9"/>
    <w:rsid w:val="004F4751"/>
    <w:rsid w:val="004F5A9B"/>
    <w:rsid w:val="00500895"/>
    <w:rsid w:val="0050099D"/>
    <w:rsid w:val="005022C7"/>
    <w:rsid w:val="00504AB2"/>
    <w:rsid w:val="00506201"/>
    <w:rsid w:val="00507250"/>
    <w:rsid w:val="00516F28"/>
    <w:rsid w:val="0052112D"/>
    <w:rsid w:val="005213C9"/>
    <w:rsid w:val="005242C7"/>
    <w:rsid w:val="005324BC"/>
    <w:rsid w:val="00533F10"/>
    <w:rsid w:val="005375EF"/>
    <w:rsid w:val="005378D6"/>
    <w:rsid w:val="00545A69"/>
    <w:rsid w:val="00546F86"/>
    <w:rsid w:val="00557377"/>
    <w:rsid w:val="00561751"/>
    <w:rsid w:val="00564365"/>
    <w:rsid w:val="0056501F"/>
    <w:rsid w:val="00574988"/>
    <w:rsid w:val="005760E1"/>
    <w:rsid w:val="00581D50"/>
    <w:rsid w:val="00585202"/>
    <w:rsid w:val="005A3638"/>
    <w:rsid w:val="005A7558"/>
    <w:rsid w:val="005B007C"/>
    <w:rsid w:val="005B0ADA"/>
    <w:rsid w:val="005B7B7D"/>
    <w:rsid w:val="005C3529"/>
    <w:rsid w:val="005E0CA7"/>
    <w:rsid w:val="005E5DCF"/>
    <w:rsid w:val="005E6046"/>
    <w:rsid w:val="005F003D"/>
    <w:rsid w:val="005F005B"/>
    <w:rsid w:val="00600379"/>
    <w:rsid w:val="0060315F"/>
    <w:rsid w:val="00610FA1"/>
    <w:rsid w:val="00636924"/>
    <w:rsid w:val="0064304A"/>
    <w:rsid w:val="006455A8"/>
    <w:rsid w:val="00654702"/>
    <w:rsid w:val="00657326"/>
    <w:rsid w:val="00660DD0"/>
    <w:rsid w:val="00664B19"/>
    <w:rsid w:val="006656F8"/>
    <w:rsid w:val="0067328A"/>
    <w:rsid w:val="00684C6F"/>
    <w:rsid w:val="00687929"/>
    <w:rsid w:val="00691D14"/>
    <w:rsid w:val="00696F16"/>
    <w:rsid w:val="006A47B2"/>
    <w:rsid w:val="006B44E8"/>
    <w:rsid w:val="006C13D6"/>
    <w:rsid w:val="006D455A"/>
    <w:rsid w:val="006D4B39"/>
    <w:rsid w:val="006D4F48"/>
    <w:rsid w:val="006E3430"/>
    <w:rsid w:val="006E38DD"/>
    <w:rsid w:val="006E7AB4"/>
    <w:rsid w:val="006F0283"/>
    <w:rsid w:val="006F3DBC"/>
    <w:rsid w:val="006F419A"/>
    <w:rsid w:val="007002AC"/>
    <w:rsid w:val="00703E6A"/>
    <w:rsid w:val="00712DB2"/>
    <w:rsid w:val="007149CA"/>
    <w:rsid w:val="00715285"/>
    <w:rsid w:val="00715849"/>
    <w:rsid w:val="0072074F"/>
    <w:rsid w:val="00720E94"/>
    <w:rsid w:val="007226F4"/>
    <w:rsid w:val="00736725"/>
    <w:rsid w:val="0073758D"/>
    <w:rsid w:val="0074632B"/>
    <w:rsid w:val="0075130F"/>
    <w:rsid w:val="00755990"/>
    <w:rsid w:val="00755FAE"/>
    <w:rsid w:val="00756336"/>
    <w:rsid w:val="00763747"/>
    <w:rsid w:val="007723B0"/>
    <w:rsid w:val="00772F6F"/>
    <w:rsid w:val="00774C1D"/>
    <w:rsid w:val="00792306"/>
    <w:rsid w:val="007975F9"/>
    <w:rsid w:val="007A11C5"/>
    <w:rsid w:val="007A2506"/>
    <w:rsid w:val="007A4B3B"/>
    <w:rsid w:val="007A5D6C"/>
    <w:rsid w:val="007A710B"/>
    <w:rsid w:val="007B44D0"/>
    <w:rsid w:val="007C3137"/>
    <w:rsid w:val="007C32CD"/>
    <w:rsid w:val="007D4422"/>
    <w:rsid w:val="007D5BBD"/>
    <w:rsid w:val="007E2DA2"/>
    <w:rsid w:val="007F196C"/>
    <w:rsid w:val="007F1F95"/>
    <w:rsid w:val="007F3128"/>
    <w:rsid w:val="007F4D05"/>
    <w:rsid w:val="00800081"/>
    <w:rsid w:val="0080287E"/>
    <w:rsid w:val="0081215B"/>
    <w:rsid w:val="00812E25"/>
    <w:rsid w:val="00812FAA"/>
    <w:rsid w:val="008131DF"/>
    <w:rsid w:val="00823BC0"/>
    <w:rsid w:val="00827B62"/>
    <w:rsid w:val="00827BB5"/>
    <w:rsid w:val="00830929"/>
    <w:rsid w:val="008343E9"/>
    <w:rsid w:val="008367D3"/>
    <w:rsid w:val="00841B38"/>
    <w:rsid w:val="00850385"/>
    <w:rsid w:val="0085171C"/>
    <w:rsid w:val="0086044F"/>
    <w:rsid w:val="00861B94"/>
    <w:rsid w:val="00862C61"/>
    <w:rsid w:val="00864A01"/>
    <w:rsid w:val="00871BEC"/>
    <w:rsid w:val="00874FB0"/>
    <w:rsid w:val="00875896"/>
    <w:rsid w:val="0088342B"/>
    <w:rsid w:val="00887B4D"/>
    <w:rsid w:val="008940C3"/>
    <w:rsid w:val="008969A7"/>
    <w:rsid w:val="008A0C7A"/>
    <w:rsid w:val="008A4469"/>
    <w:rsid w:val="008A5835"/>
    <w:rsid w:val="008A5CA8"/>
    <w:rsid w:val="008A65C2"/>
    <w:rsid w:val="008B04DC"/>
    <w:rsid w:val="008B0573"/>
    <w:rsid w:val="008B3B61"/>
    <w:rsid w:val="008D0588"/>
    <w:rsid w:val="008D09B5"/>
    <w:rsid w:val="008D39F3"/>
    <w:rsid w:val="008E04A4"/>
    <w:rsid w:val="008E0C2A"/>
    <w:rsid w:val="008E2943"/>
    <w:rsid w:val="008E6598"/>
    <w:rsid w:val="008F06B5"/>
    <w:rsid w:val="00901085"/>
    <w:rsid w:val="009057F7"/>
    <w:rsid w:val="00906BF0"/>
    <w:rsid w:val="00911E46"/>
    <w:rsid w:val="00914813"/>
    <w:rsid w:val="00916D21"/>
    <w:rsid w:val="00920B3A"/>
    <w:rsid w:val="0092209B"/>
    <w:rsid w:val="00924691"/>
    <w:rsid w:val="0092505B"/>
    <w:rsid w:val="009252FE"/>
    <w:rsid w:val="00925535"/>
    <w:rsid w:val="009316C4"/>
    <w:rsid w:val="00932A0A"/>
    <w:rsid w:val="00933A4B"/>
    <w:rsid w:val="00941DE1"/>
    <w:rsid w:val="009433AE"/>
    <w:rsid w:val="0095025A"/>
    <w:rsid w:val="00957D83"/>
    <w:rsid w:val="00960D6C"/>
    <w:rsid w:val="00970153"/>
    <w:rsid w:val="00972851"/>
    <w:rsid w:val="00974F48"/>
    <w:rsid w:val="00975862"/>
    <w:rsid w:val="009827B7"/>
    <w:rsid w:val="00992A3C"/>
    <w:rsid w:val="00993785"/>
    <w:rsid w:val="0099559D"/>
    <w:rsid w:val="009955BA"/>
    <w:rsid w:val="009957B8"/>
    <w:rsid w:val="00996A75"/>
    <w:rsid w:val="009A096E"/>
    <w:rsid w:val="009A1440"/>
    <w:rsid w:val="009A44DF"/>
    <w:rsid w:val="009A7ABD"/>
    <w:rsid w:val="009B1FA7"/>
    <w:rsid w:val="009B3F6B"/>
    <w:rsid w:val="009C36FF"/>
    <w:rsid w:val="009C42F1"/>
    <w:rsid w:val="009C5E24"/>
    <w:rsid w:val="009C764F"/>
    <w:rsid w:val="009D0E14"/>
    <w:rsid w:val="009D784D"/>
    <w:rsid w:val="009E3080"/>
    <w:rsid w:val="009E6716"/>
    <w:rsid w:val="009F2490"/>
    <w:rsid w:val="00A03EF3"/>
    <w:rsid w:val="00A063E6"/>
    <w:rsid w:val="00A15497"/>
    <w:rsid w:val="00A23665"/>
    <w:rsid w:val="00A3434B"/>
    <w:rsid w:val="00A37796"/>
    <w:rsid w:val="00A4402B"/>
    <w:rsid w:val="00A531AA"/>
    <w:rsid w:val="00A601BA"/>
    <w:rsid w:val="00A60B84"/>
    <w:rsid w:val="00A6123F"/>
    <w:rsid w:val="00A65A4D"/>
    <w:rsid w:val="00A71318"/>
    <w:rsid w:val="00A86EAB"/>
    <w:rsid w:val="00A8785D"/>
    <w:rsid w:val="00A87965"/>
    <w:rsid w:val="00A902E0"/>
    <w:rsid w:val="00AA0076"/>
    <w:rsid w:val="00AA27BF"/>
    <w:rsid w:val="00AA3EBE"/>
    <w:rsid w:val="00AA6A56"/>
    <w:rsid w:val="00AB47DD"/>
    <w:rsid w:val="00AB6141"/>
    <w:rsid w:val="00AB713C"/>
    <w:rsid w:val="00AC044E"/>
    <w:rsid w:val="00AC0AAD"/>
    <w:rsid w:val="00AC24CD"/>
    <w:rsid w:val="00AC4192"/>
    <w:rsid w:val="00AC6DE9"/>
    <w:rsid w:val="00AD0340"/>
    <w:rsid w:val="00AD0A01"/>
    <w:rsid w:val="00AD170D"/>
    <w:rsid w:val="00AD2D52"/>
    <w:rsid w:val="00AE291C"/>
    <w:rsid w:val="00AF4517"/>
    <w:rsid w:val="00B0168F"/>
    <w:rsid w:val="00B03CB5"/>
    <w:rsid w:val="00B07444"/>
    <w:rsid w:val="00B1583F"/>
    <w:rsid w:val="00B2299B"/>
    <w:rsid w:val="00B30B71"/>
    <w:rsid w:val="00B35468"/>
    <w:rsid w:val="00B417EA"/>
    <w:rsid w:val="00B435E6"/>
    <w:rsid w:val="00B52961"/>
    <w:rsid w:val="00B536B0"/>
    <w:rsid w:val="00B56248"/>
    <w:rsid w:val="00B60471"/>
    <w:rsid w:val="00B61E56"/>
    <w:rsid w:val="00B70D74"/>
    <w:rsid w:val="00B7538B"/>
    <w:rsid w:val="00B77045"/>
    <w:rsid w:val="00B84DB9"/>
    <w:rsid w:val="00B9003B"/>
    <w:rsid w:val="00B92928"/>
    <w:rsid w:val="00BA23FD"/>
    <w:rsid w:val="00BA25B8"/>
    <w:rsid w:val="00BA3391"/>
    <w:rsid w:val="00BA588F"/>
    <w:rsid w:val="00BB21BD"/>
    <w:rsid w:val="00BB4423"/>
    <w:rsid w:val="00BB5045"/>
    <w:rsid w:val="00BB59E6"/>
    <w:rsid w:val="00BB5C8B"/>
    <w:rsid w:val="00BC0E36"/>
    <w:rsid w:val="00BC206F"/>
    <w:rsid w:val="00BC7F41"/>
    <w:rsid w:val="00BD38D9"/>
    <w:rsid w:val="00BE52C3"/>
    <w:rsid w:val="00BF289B"/>
    <w:rsid w:val="00BF293C"/>
    <w:rsid w:val="00BF3FCB"/>
    <w:rsid w:val="00C05AA4"/>
    <w:rsid w:val="00C05FE3"/>
    <w:rsid w:val="00C12D48"/>
    <w:rsid w:val="00C21DE6"/>
    <w:rsid w:val="00C25EB0"/>
    <w:rsid w:val="00C262EF"/>
    <w:rsid w:val="00C26A8D"/>
    <w:rsid w:val="00C32998"/>
    <w:rsid w:val="00C44552"/>
    <w:rsid w:val="00C606E0"/>
    <w:rsid w:val="00C80600"/>
    <w:rsid w:val="00C82BBC"/>
    <w:rsid w:val="00C83CC3"/>
    <w:rsid w:val="00C8409A"/>
    <w:rsid w:val="00C86996"/>
    <w:rsid w:val="00C86C3E"/>
    <w:rsid w:val="00CA1307"/>
    <w:rsid w:val="00CB3A53"/>
    <w:rsid w:val="00CB49A4"/>
    <w:rsid w:val="00CB4A8E"/>
    <w:rsid w:val="00CB6022"/>
    <w:rsid w:val="00CC5658"/>
    <w:rsid w:val="00CD54C8"/>
    <w:rsid w:val="00CD5C3C"/>
    <w:rsid w:val="00CE0366"/>
    <w:rsid w:val="00CE2C5F"/>
    <w:rsid w:val="00CE2DD1"/>
    <w:rsid w:val="00CE6616"/>
    <w:rsid w:val="00CF0804"/>
    <w:rsid w:val="00CF1119"/>
    <w:rsid w:val="00CF5054"/>
    <w:rsid w:val="00D00403"/>
    <w:rsid w:val="00D00B25"/>
    <w:rsid w:val="00D02FE1"/>
    <w:rsid w:val="00D1147E"/>
    <w:rsid w:val="00D1215A"/>
    <w:rsid w:val="00D14D12"/>
    <w:rsid w:val="00D15869"/>
    <w:rsid w:val="00D164D9"/>
    <w:rsid w:val="00D1792A"/>
    <w:rsid w:val="00D2025D"/>
    <w:rsid w:val="00D207C3"/>
    <w:rsid w:val="00D24B34"/>
    <w:rsid w:val="00D265B5"/>
    <w:rsid w:val="00D43451"/>
    <w:rsid w:val="00D45781"/>
    <w:rsid w:val="00D47238"/>
    <w:rsid w:val="00D478C9"/>
    <w:rsid w:val="00D50AE0"/>
    <w:rsid w:val="00D63526"/>
    <w:rsid w:val="00D808AB"/>
    <w:rsid w:val="00D81534"/>
    <w:rsid w:val="00D86B10"/>
    <w:rsid w:val="00D90E95"/>
    <w:rsid w:val="00D93BDB"/>
    <w:rsid w:val="00D9455D"/>
    <w:rsid w:val="00D95E19"/>
    <w:rsid w:val="00DA1801"/>
    <w:rsid w:val="00DA18DB"/>
    <w:rsid w:val="00DB18D2"/>
    <w:rsid w:val="00DB1E69"/>
    <w:rsid w:val="00DB4D01"/>
    <w:rsid w:val="00DC1B69"/>
    <w:rsid w:val="00DC51FE"/>
    <w:rsid w:val="00DC7DF9"/>
    <w:rsid w:val="00DF4B74"/>
    <w:rsid w:val="00DF55CB"/>
    <w:rsid w:val="00DF6375"/>
    <w:rsid w:val="00DF77D2"/>
    <w:rsid w:val="00DF7D62"/>
    <w:rsid w:val="00E00376"/>
    <w:rsid w:val="00E125AA"/>
    <w:rsid w:val="00E138A9"/>
    <w:rsid w:val="00E143F7"/>
    <w:rsid w:val="00E211AD"/>
    <w:rsid w:val="00E32BE5"/>
    <w:rsid w:val="00E364DE"/>
    <w:rsid w:val="00E36A8C"/>
    <w:rsid w:val="00E376DC"/>
    <w:rsid w:val="00E50A04"/>
    <w:rsid w:val="00E52466"/>
    <w:rsid w:val="00E672D3"/>
    <w:rsid w:val="00E716A3"/>
    <w:rsid w:val="00E71A58"/>
    <w:rsid w:val="00E806D7"/>
    <w:rsid w:val="00E80A06"/>
    <w:rsid w:val="00E83F85"/>
    <w:rsid w:val="00E93B5E"/>
    <w:rsid w:val="00E95BF1"/>
    <w:rsid w:val="00EA4BC3"/>
    <w:rsid w:val="00EA50F9"/>
    <w:rsid w:val="00EB3D31"/>
    <w:rsid w:val="00EB4195"/>
    <w:rsid w:val="00EB6115"/>
    <w:rsid w:val="00EB7E79"/>
    <w:rsid w:val="00EC071C"/>
    <w:rsid w:val="00ED6007"/>
    <w:rsid w:val="00ED7A1E"/>
    <w:rsid w:val="00EE278D"/>
    <w:rsid w:val="00EE28C7"/>
    <w:rsid w:val="00EE3479"/>
    <w:rsid w:val="00EE3FFA"/>
    <w:rsid w:val="00EE436E"/>
    <w:rsid w:val="00EE63B1"/>
    <w:rsid w:val="00EF00F9"/>
    <w:rsid w:val="00EF21FF"/>
    <w:rsid w:val="00EF3263"/>
    <w:rsid w:val="00F01F6A"/>
    <w:rsid w:val="00F03255"/>
    <w:rsid w:val="00F04AFD"/>
    <w:rsid w:val="00F15CC9"/>
    <w:rsid w:val="00F168D4"/>
    <w:rsid w:val="00F1713B"/>
    <w:rsid w:val="00F239C3"/>
    <w:rsid w:val="00F23AD8"/>
    <w:rsid w:val="00F24DAC"/>
    <w:rsid w:val="00F27417"/>
    <w:rsid w:val="00F329CE"/>
    <w:rsid w:val="00F44937"/>
    <w:rsid w:val="00F515B7"/>
    <w:rsid w:val="00F52938"/>
    <w:rsid w:val="00F62686"/>
    <w:rsid w:val="00F658B0"/>
    <w:rsid w:val="00F65DAF"/>
    <w:rsid w:val="00F67005"/>
    <w:rsid w:val="00F67E42"/>
    <w:rsid w:val="00F82E8E"/>
    <w:rsid w:val="00F866A3"/>
    <w:rsid w:val="00F933E7"/>
    <w:rsid w:val="00F97C79"/>
    <w:rsid w:val="00FA178F"/>
    <w:rsid w:val="00FA304A"/>
    <w:rsid w:val="00FA3E0C"/>
    <w:rsid w:val="00FA7597"/>
    <w:rsid w:val="00FB26A8"/>
    <w:rsid w:val="00FB693E"/>
    <w:rsid w:val="00FB7364"/>
    <w:rsid w:val="00FB7867"/>
    <w:rsid w:val="00FC7DE8"/>
    <w:rsid w:val="00FD2027"/>
    <w:rsid w:val="00FD21D1"/>
    <w:rsid w:val="00FD65B2"/>
    <w:rsid w:val="00FE259F"/>
    <w:rsid w:val="00FE2F65"/>
    <w:rsid w:val="00FE3AC6"/>
    <w:rsid w:val="00FE4715"/>
    <w:rsid w:val="00FE4D24"/>
    <w:rsid w:val="00FE58EB"/>
    <w:rsid w:val="00FF4575"/>
    <w:rsid w:val="00FF708E"/>
    <w:rsid w:val="00FF70F9"/>
    <w:rsid w:val="00FF73B6"/>
    <w:rsid w:val="00FF75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CDE41"/>
  <w15:docId w15:val="{8AAE5902-34D7-3A46-8105-1B54FABF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08AB"/>
    <w:pPr>
      <w:spacing w:line="360" w:lineRule="auto"/>
      <w:jc w:val="both"/>
    </w:pPr>
    <w:rPr>
      <w:rFonts w:eastAsiaTheme="minorEastAsia"/>
      <w:lang w:eastAsia="it-IT"/>
    </w:rPr>
  </w:style>
  <w:style w:type="paragraph" w:styleId="Titolo1">
    <w:name w:val="heading 1"/>
    <w:basedOn w:val="Normale"/>
    <w:next w:val="Normale"/>
    <w:link w:val="Titolo1Carattere"/>
    <w:qFormat/>
    <w:rsid w:val="00D808AB"/>
    <w:pPr>
      <w:keepNext/>
      <w:keepLines/>
      <w:numPr>
        <w:numId w:val="1"/>
      </w:numPr>
      <w:spacing w:before="120" w:after="0"/>
      <w:outlineLvl w:val="0"/>
    </w:pPr>
    <w:rPr>
      <w:rFonts w:eastAsiaTheme="majorEastAsia" w:cstheme="majorBidi"/>
      <w:b/>
      <w:bCs/>
      <w:smallCaps/>
      <w:sz w:val="24"/>
      <w:szCs w:val="28"/>
      <w:lang w:eastAsia="en-US"/>
    </w:rPr>
  </w:style>
  <w:style w:type="paragraph" w:styleId="Titolo2">
    <w:name w:val="heading 2"/>
    <w:basedOn w:val="Normale"/>
    <w:next w:val="Normale"/>
    <w:link w:val="Titolo2Carattere"/>
    <w:unhideWhenUsed/>
    <w:qFormat/>
    <w:rsid w:val="00D808AB"/>
    <w:pPr>
      <w:keepNext/>
      <w:keepLines/>
      <w:numPr>
        <w:ilvl w:val="1"/>
        <w:numId w:val="1"/>
      </w:numPr>
      <w:spacing w:before="200" w:after="0"/>
      <w:outlineLvl w:val="1"/>
    </w:pPr>
    <w:rPr>
      <w:rFonts w:eastAsiaTheme="majorEastAsia" w:cstheme="majorBidi"/>
      <w:b/>
      <w:bCs/>
      <w:smallCaps/>
      <w:szCs w:val="26"/>
      <w:lang w:eastAsia="en-US"/>
    </w:rPr>
  </w:style>
  <w:style w:type="paragraph" w:styleId="Titolo3">
    <w:name w:val="heading 3"/>
    <w:basedOn w:val="Normale"/>
    <w:next w:val="Normale"/>
    <w:link w:val="Titolo3Carattere"/>
    <w:unhideWhenUsed/>
    <w:qFormat/>
    <w:rsid w:val="00D808AB"/>
    <w:pPr>
      <w:keepNext/>
      <w:keepLines/>
      <w:numPr>
        <w:ilvl w:val="2"/>
        <w:numId w:val="1"/>
      </w:numPr>
      <w:spacing w:after="0"/>
      <w:outlineLvl w:val="2"/>
    </w:pPr>
    <w:rPr>
      <w:rFonts w:ascii="Arial" w:eastAsiaTheme="majorEastAsia" w:hAnsi="Arial" w:cstheme="majorBidi"/>
      <w:b/>
      <w:bCs/>
      <w:i/>
      <w:lang w:eastAsia="en-US"/>
    </w:rPr>
  </w:style>
  <w:style w:type="paragraph" w:styleId="Titolo4">
    <w:name w:val="heading 4"/>
    <w:basedOn w:val="Normale"/>
    <w:next w:val="Normale"/>
    <w:link w:val="Titolo4Carattere"/>
    <w:unhideWhenUsed/>
    <w:qFormat/>
    <w:rsid w:val="00D808AB"/>
    <w:pPr>
      <w:keepNext/>
      <w:keepLines/>
      <w:numPr>
        <w:ilvl w:val="3"/>
        <w:numId w:val="1"/>
      </w:numPr>
      <w:spacing w:after="0"/>
      <w:outlineLvl w:val="3"/>
    </w:pPr>
    <w:rPr>
      <w:rFonts w:ascii="Arial" w:eastAsiaTheme="majorEastAsia" w:hAnsi="Arial" w:cstheme="majorBidi"/>
      <w:b/>
      <w:bCs/>
      <w:i/>
      <w:iCs/>
      <w:color w:val="595959" w:themeColor="text1" w:themeTint="A6"/>
      <w:lang w:eastAsia="en-US"/>
    </w:rPr>
  </w:style>
  <w:style w:type="paragraph" w:styleId="Titolo5">
    <w:name w:val="heading 5"/>
    <w:basedOn w:val="Normale"/>
    <w:next w:val="Normale"/>
    <w:link w:val="Titolo5Carattere"/>
    <w:unhideWhenUsed/>
    <w:qFormat/>
    <w:rsid w:val="00D808AB"/>
    <w:pPr>
      <w:keepNext/>
      <w:keepLines/>
      <w:numPr>
        <w:ilvl w:val="4"/>
        <w:numId w:val="1"/>
      </w:numPr>
      <w:pBdr>
        <w:bottom w:val="single" w:sz="4" w:space="1" w:color="auto"/>
      </w:pBdr>
      <w:spacing w:before="200" w:after="80"/>
      <w:outlineLvl w:val="4"/>
    </w:pPr>
    <w:rPr>
      <w:rFonts w:ascii="Arial" w:eastAsiaTheme="majorEastAsia" w:hAnsi="Arial" w:cstheme="majorBidi"/>
      <w:b/>
      <w:color w:val="404040" w:themeColor="text1" w:themeTint="BF"/>
      <w:lang w:eastAsia="en-US"/>
    </w:rPr>
  </w:style>
  <w:style w:type="paragraph" w:styleId="Titolo6">
    <w:name w:val="heading 6"/>
    <w:basedOn w:val="Normale"/>
    <w:next w:val="Normale"/>
    <w:link w:val="Titolo6Carattere"/>
    <w:unhideWhenUsed/>
    <w:qFormat/>
    <w:rsid w:val="00D808A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itolo7">
    <w:name w:val="heading 7"/>
    <w:basedOn w:val="Normale"/>
    <w:next w:val="Normale"/>
    <w:link w:val="Titolo7Carattere"/>
    <w:unhideWhenUsed/>
    <w:qFormat/>
    <w:rsid w:val="00D808AB"/>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itolo8">
    <w:name w:val="heading 8"/>
    <w:basedOn w:val="Normale"/>
    <w:next w:val="Normale"/>
    <w:link w:val="Titolo8Carattere"/>
    <w:unhideWhenUsed/>
    <w:qFormat/>
    <w:rsid w:val="00D808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nhideWhenUsed/>
    <w:qFormat/>
    <w:rsid w:val="00D808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08AB"/>
    <w:rPr>
      <w:rFonts w:eastAsiaTheme="majorEastAsia" w:cstheme="majorBidi"/>
      <w:b/>
      <w:bCs/>
      <w:smallCaps/>
      <w:sz w:val="24"/>
      <w:szCs w:val="28"/>
    </w:rPr>
  </w:style>
  <w:style w:type="character" w:customStyle="1" w:styleId="Titolo2Carattere">
    <w:name w:val="Titolo 2 Carattere"/>
    <w:basedOn w:val="Carpredefinitoparagrafo"/>
    <w:link w:val="Titolo2"/>
    <w:rsid w:val="00D808AB"/>
    <w:rPr>
      <w:rFonts w:eastAsiaTheme="majorEastAsia" w:cstheme="majorBidi"/>
      <w:b/>
      <w:bCs/>
      <w:smallCaps/>
      <w:szCs w:val="26"/>
    </w:rPr>
  </w:style>
  <w:style w:type="character" w:customStyle="1" w:styleId="Titolo3Carattere">
    <w:name w:val="Titolo 3 Carattere"/>
    <w:basedOn w:val="Carpredefinitoparagrafo"/>
    <w:link w:val="Titolo3"/>
    <w:rsid w:val="00D808AB"/>
    <w:rPr>
      <w:rFonts w:ascii="Arial" w:eastAsiaTheme="majorEastAsia" w:hAnsi="Arial" w:cstheme="majorBidi"/>
      <w:b/>
      <w:bCs/>
      <w:i/>
    </w:rPr>
  </w:style>
  <w:style w:type="character" w:customStyle="1" w:styleId="Titolo4Carattere">
    <w:name w:val="Titolo 4 Carattere"/>
    <w:basedOn w:val="Carpredefinitoparagrafo"/>
    <w:link w:val="Titolo4"/>
    <w:uiPriority w:val="9"/>
    <w:rsid w:val="00D808AB"/>
    <w:rPr>
      <w:rFonts w:ascii="Arial" w:eastAsiaTheme="majorEastAsia" w:hAnsi="Arial" w:cstheme="majorBidi"/>
      <w:b/>
      <w:bCs/>
      <w:i/>
      <w:iCs/>
      <w:color w:val="595959" w:themeColor="text1" w:themeTint="A6"/>
    </w:rPr>
  </w:style>
  <w:style w:type="character" w:customStyle="1" w:styleId="Titolo5Carattere">
    <w:name w:val="Titolo 5 Carattere"/>
    <w:basedOn w:val="Carpredefinitoparagrafo"/>
    <w:link w:val="Titolo5"/>
    <w:uiPriority w:val="9"/>
    <w:rsid w:val="00D808AB"/>
    <w:rPr>
      <w:rFonts w:ascii="Arial" w:eastAsiaTheme="majorEastAsia" w:hAnsi="Arial" w:cstheme="majorBidi"/>
      <w:b/>
      <w:color w:val="404040" w:themeColor="text1" w:themeTint="BF"/>
    </w:rPr>
  </w:style>
  <w:style w:type="character" w:customStyle="1" w:styleId="Titolo6Carattere">
    <w:name w:val="Titolo 6 Carattere"/>
    <w:basedOn w:val="Carpredefinitoparagrafo"/>
    <w:link w:val="Titolo6"/>
    <w:uiPriority w:val="9"/>
    <w:semiHidden/>
    <w:rsid w:val="00D808AB"/>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D808AB"/>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D808AB"/>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D808AB"/>
    <w:rPr>
      <w:rFonts w:asciiTheme="majorHAnsi" w:eastAsiaTheme="majorEastAsia" w:hAnsiTheme="majorHAnsi" w:cstheme="majorBidi"/>
      <w:i/>
      <w:iCs/>
      <w:color w:val="404040" w:themeColor="text1" w:themeTint="BF"/>
      <w:sz w:val="20"/>
      <w:szCs w:val="20"/>
    </w:rPr>
  </w:style>
  <w:style w:type="table" w:styleId="Grigliatabella">
    <w:name w:val="Table Grid"/>
    <w:basedOn w:val="Tabellanormale"/>
    <w:uiPriority w:val="59"/>
    <w:rsid w:val="00D808AB"/>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D808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8AB"/>
    <w:rPr>
      <w:rFonts w:eastAsiaTheme="minorEastAsia"/>
      <w:lang w:eastAsia="it-IT"/>
    </w:rPr>
  </w:style>
  <w:style w:type="paragraph" w:styleId="Pidipagina">
    <w:name w:val="footer"/>
    <w:basedOn w:val="Normale"/>
    <w:link w:val="PidipaginaCarattere"/>
    <w:uiPriority w:val="99"/>
    <w:unhideWhenUsed/>
    <w:rsid w:val="00D808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8AB"/>
    <w:rPr>
      <w:rFonts w:eastAsiaTheme="minorEastAsia"/>
      <w:lang w:eastAsia="it-IT"/>
    </w:rPr>
  </w:style>
  <w:style w:type="paragraph" w:styleId="Testofumetto">
    <w:name w:val="Balloon Text"/>
    <w:basedOn w:val="Normale"/>
    <w:link w:val="TestofumettoCarattere"/>
    <w:uiPriority w:val="99"/>
    <w:semiHidden/>
    <w:unhideWhenUsed/>
    <w:rsid w:val="00D808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8AB"/>
    <w:rPr>
      <w:rFonts w:ascii="Tahoma" w:eastAsiaTheme="minorEastAsia" w:hAnsi="Tahoma" w:cs="Tahoma"/>
      <w:sz w:val="16"/>
      <w:szCs w:val="16"/>
      <w:lang w:eastAsia="it-IT"/>
    </w:rPr>
  </w:style>
  <w:style w:type="paragraph" w:styleId="Sommario2">
    <w:name w:val="toc 2"/>
    <w:basedOn w:val="Normale"/>
    <w:next w:val="Normale"/>
    <w:autoRedefine/>
    <w:uiPriority w:val="39"/>
    <w:unhideWhenUsed/>
    <w:rsid w:val="00284B24"/>
    <w:pPr>
      <w:tabs>
        <w:tab w:val="left" w:pos="993"/>
        <w:tab w:val="right" w:leader="dot" w:pos="9638"/>
      </w:tabs>
      <w:spacing w:after="0" w:line="240" w:lineRule="auto"/>
      <w:jc w:val="left"/>
    </w:pPr>
    <w:rPr>
      <w:rFonts w:ascii="Arial" w:eastAsiaTheme="minorHAnsi" w:hAnsi="Arial" w:cs="Arial"/>
      <w:noProof/>
      <w:sz w:val="24"/>
      <w:szCs w:val="24"/>
      <w:lang w:eastAsia="en-US"/>
    </w:rPr>
  </w:style>
  <w:style w:type="character" w:styleId="Collegamentoipertestuale">
    <w:name w:val="Hyperlink"/>
    <w:basedOn w:val="Carpredefinitoparagrafo"/>
    <w:uiPriority w:val="99"/>
    <w:unhideWhenUsed/>
    <w:rsid w:val="00164224"/>
    <w:rPr>
      <w:color w:val="0000FF" w:themeColor="hyperlink"/>
      <w:u w:val="single"/>
    </w:rPr>
  </w:style>
  <w:style w:type="paragraph" w:styleId="Paragrafoelenco">
    <w:name w:val="List Paragraph"/>
    <w:aliases w:val="Normale elencoPuntato"/>
    <w:basedOn w:val="Normale"/>
    <w:link w:val="ParagrafoelencoCarattere"/>
    <w:uiPriority w:val="34"/>
    <w:qFormat/>
    <w:rsid w:val="00CC5658"/>
    <w:pPr>
      <w:spacing w:after="0"/>
      <w:ind w:left="720"/>
      <w:contextualSpacing/>
    </w:pPr>
    <w:rPr>
      <w:rFonts w:ascii="Arial" w:eastAsiaTheme="minorHAnsi" w:hAnsi="Arial"/>
      <w:lang w:eastAsia="en-US"/>
    </w:rPr>
  </w:style>
  <w:style w:type="character" w:customStyle="1" w:styleId="ParagrafoelencoCarattere">
    <w:name w:val="Paragrafo elenco Carattere"/>
    <w:aliases w:val="Normale elencoPuntato Carattere"/>
    <w:basedOn w:val="Carpredefinitoparagrafo"/>
    <w:link w:val="Paragrafoelenco"/>
    <w:uiPriority w:val="34"/>
    <w:rsid w:val="00CC5658"/>
    <w:rPr>
      <w:rFonts w:ascii="Arial" w:hAnsi="Arial"/>
    </w:rPr>
  </w:style>
  <w:style w:type="paragraph" w:customStyle="1" w:styleId="Default">
    <w:name w:val="Default"/>
    <w:link w:val="DefaultCarattere"/>
    <w:rsid w:val="00275598"/>
    <w:pPr>
      <w:autoSpaceDE w:val="0"/>
      <w:autoSpaceDN w:val="0"/>
      <w:adjustRightInd w:val="0"/>
      <w:spacing w:after="0" w:line="240" w:lineRule="auto"/>
    </w:pPr>
    <w:rPr>
      <w:rFonts w:ascii="Garamond" w:hAnsi="Garamond" w:cs="Garamond"/>
      <w:color w:val="000000"/>
      <w:sz w:val="24"/>
      <w:szCs w:val="24"/>
    </w:rPr>
  </w:style>
  <w:style w:type="character" w:customStyle="1" w:styleId="normaltextrun">
    <w:name w:val="normaltextrun"/>
    <w:basedOn w:val="Carpredefinitoparagrafo"/>
    <w:rsid w:val="00F03255"/>
  </w:style>
  <w:style w:type="character" w:customStyle="1" w:styleId="DefaultCarattere">
    <w:name w:val="Default Carattere"/>
    <w:link w:val="Default"/>
    <w:locked/>
    <w:rsid w:val="00F03255"/>
    <w:rPr>
      <w:rFonts w:ascii="Garamond" w:hAnsi="Garamond" w:cs="Garamond"/>
      <w:color w:val="000000"/>
      <w:sz w:val="24"/>
      <w:szCs w:val="24"/>
    </w:rPr>
  </w:style>
  <w:style w:type="paragraph" w:styleId="Sommario1">
    <w:name w:val="toc 1"/>
    <w:basedOn w:val="Normale"/>
    <w:next w:val="Normale"/>
    <w:autoRedefine/>
    <w:uiPriority w:val="39"/>
    <w:unhideWhenUsed/>
    <w:rsid w:val="00284B24"/>
    <w:pPr>
      <w:tabs>
        <w:tab w:val="left" w:pos="993"/>
        <w:tab w:val="right" w:leader="dot" w:pos="9628"/>
      </w:tabs>
      <w:spacing w:after="100"/>
    </w:pPr>
  </w:style>
  <w:style w:type="paragraph" w:customStyle="1" w:styleId="Basetitolo">
    <w:name w:val="Base titolo"/>
    <w:basedOn w:val="Normale"/>
    <w:next w:val="Corpotesto"/>
    <w:rsid w:val="001F5519"/>
    <w:pPr>
      <w:keepNext/>
      <w:widowControl w:val="0"/>
      <w:spacing w:before="360" w:after="120" w:line="-360" w:lineRule="auto"/>
    </w:pPr>
    <w:rPr>
      <w:rFonts w:ascii="Times New Roman" w:eastAsia="Times New Roman" w:hAnsi="Times New Roman" w:cs="Times New Roman"/>
      <w:b/>
      <w:snapToGrid w:val="0"/>
      <w:kern w:val="28"/>
      <w:sz w:val="28"/>
      <w:szCs w:val="20"/>
      <w:lang w:val="en-US"/>
    </w:rPr>
  </w:style>
  <w:style w:type="paragraph" w:styleId="Corpotesto">
    <w:name w:val="Body Text"/>
    <w:basedOn w:val="Normale"/>
    <w:link w:val="CorpotestoCarattere"/>
    <w:uiPriority w:val="99"/>
    <w:semiHidden/>
    <w:unhideWhenUsed/>
    <w:rsid w:val="001F5519"/>
    <w:pPr>
      <w:spacing w:after="120"/>
    </w:pPr>
  </w:style>
  <w:style w:type="character" w:customStyle="1" w:styleId="CorpotestoCarattere">
    <w:name w:val="Corpo testo Carattere"/>
    <w:basedOn w:val="Carpredefinitoparagrafo"/>
    <w:link w:val="Corpotesto"/>
    <w:uiPriority w:val="99"/>
    <w:semiHidden/>
    <w:rsid w:val="001F5519"/>
    <w:rPr>
      <w:rFonts w:eastAsiaTheme="minorEastAsia"/>
      <w:lang w:eastAsia="it-IT"/>
    </w:rPr>
  </w:style>
  <w:style w:type="paragraph" w:customStyle="1" w:styleId="titoli">
    <w:name w:val="(titoli)"/>
    <w:basedOn w:val="Normale"/>
    <w:next w:val="Normale"/>
    <w:rsid w:val="002C1517"/>
    <w:pPr>
      <w:numPr>
        <w:numId w:val="18"/>
      </w:numPr>
      <w:spacing w:before="480" w:after="120" w:line="240" w:lineRule="auto"/>
      <w:jc w:val="center"/>
      <w:outlineLvl w:val="0"/>
    </w:pPr>
    <w:rPr>
      <w:rFonts w:ascii="Times New Roman" w:eastAsia="Times New Roman" w:hAnsi="Times New Roman" w:cs="Times New Roman"/>
      <w:b/>
      <w:smallCaps/>
      <w:sz w:val="24"/>
      <w:szCs w:val="20"/>
    </w:rPr>
  </w:style>
  <w:style w:type="paragraph" w:customStyle="1" w:styleId="elencoarabo">
    <w:name w:val="(elenco arabo)"/>
    <w:basedOn w:val="Normale"/>
    <w:rsid w:val="002C1517"/>
    <w:pPr>
      <w:numPr>
        <w:ilvl w:val="5"/>
        <w:numId w:val="18"/>
      </w:numPr>
      <w:tabs>
        <w:tab w:val="left" w:pos="851"/>
      </w:tabs>
      <w:spacing w:after="120" w:line="240" w:lineRule="auto"/>
      <w:contextualSpacing/>
      <w:outlineLvl w:val="5"/>
    </w:pPr>
    <w:rPr>
      <w:rFonts w:ascii="Times New Roman" w:eastAsia="Times New Roman" w:hAnsi="Times New Roman" w:cs="Times New Roman"/>
      <w:sz w:val="24"/>
      <w:szCs w:val="20"/>
    </w:rPr>
  </w:style>
  <w:style w:type="paragraph" w:customStyle="1" w:styleId="elencoromano">
    <w:name w:val="(elenco romano)"/>
    <w:basedOn w:val="Normale"/>
    <w:rsid w:val="002C1517"/>
    <w:pPr>
      <w:numPr>
        <w:ilvl w:val="6"/>
        <w:numId w:val="18"/>
      </w:numPr>
      <w:tabs>
        <w:tab w:val="left" w:pos="1418"/>
      </w:tabs>
      <w:spacing w:after="0" w:line="240" w:lineRule="auto"/>
      <w:outlineLvl w:val="6"/>
    </w:pPr>
    <w:rPr>
      <w:rFonts w:ascii="Times New Roman" w:eastAsia="Times New Roman" w:hAnsi="Times New Roman" w:cs="Times New Roman"/>
      <w:sz w:val="24"/>
      <w:szCs w:val="20"/>
    </w:rPr>
  </w:style>
  <w:style w:type="paragraph" w:customStyle="1" w:styleId="commi">
    <w:name w:val="(commi)"/>
    <w:basedOn w:val="Normale"/>
    <w:rsid w:val="002C1517"/>
    <w:pPr>
      <w:numPr>
        <w:ilvl w:val="4"/>
        <w:numId w:val="18"/>
      </w:numPr>
      <w:spacing w:before="120" w:after="120" w:line="240" w:lineRule="auto"/>
      <w:outlineLvl w:val="4"/>
    </w:pPr>
    <w:rPr>
      <w:rFonts w:ascii="Times New Roman" w:eastAsia="Times New Roman" w:hAnsi="Times New Roman" w:cs="Times New Roman"/>
      <w:sz w:val="24"/>
      <w:szCs w:val="20"/>
    </w:rPr>
  </w:style>
  <w:style w:type="paragraph" w:customStyle="1" w:styleId="capitoli">
    <w:name w:val="(capitoli)"/>
    <w:basedOn w:val="Normale"/>
    <w:next w:val="Normale"/>
    <w:rsid w:val="002C1517"/>
    <w:pPr>
      <w:numPr>
        <w:ilvl w:val="1"/>
        <w:numId w:val="18"/>
      </w:numPr>
      <w:spacing w:after="240" w:line="240" w:lineRule="auto"/>
      <w:outlineLvl w:val="1"/>
    </w:pPr>
    <w:rPr>
      <w:rFonts w:ascii="Times New Roman" w:eastAsia="Times New Roman" w:hAnsi="Times New Roman" w:cs="Times New Roman"/>
      <w:b/>
      <w:sz w:val="24"/>
      <w:szCs w:val="20"/>
    </w:rPr>
  </w:style>
  <w:style w:type="paragraph" w:customStyle="1" w:styleId="nomearticoli">
    <w:name w:val="(nome articoli)"/>
    <w:basedOn w:val="Normale"/>
    <w:next w:val="commi"/>
    <w:rsid w:val="002C1517"/>
    <w:pPr>
      <w:keepNext/>
      <w:keepLines/>
      <w:numPr>
        <w:ilvl w:val="3"/>
        <w:numId w:val="18"/>
      </w:numPr>
      <w:spacing w:after="0" w:line="240" w:lineRule="auto"/>
      <w:jc w:val="center"/>
      <w:outlineLvl w:val="3"/>
    </w:pPr>
    <w:rPr>
      <w:rFonts w:ascii="Times New Roman" w:eastAsia="Times New Roman" w:hAnsi="Times New Roman" w:cs="Times New Roman"/>
      <w:i/>
      <w:sz w:val="24"/>
      <w:szCs w:val="20"/>
    </w:rPr>
  </w:style>
  <w:style w:type="paragraph" w:customStyle="1" w:styleId="numarticoli">
    <w:name w:val="(num. articoli)"/>
    <w:basedOn w:val="Normale"/>
    <w:next w:val="nomearticoli"/>
    <w:rsid w:val="002C1517"/>
    <w:pPr>
      <w:keepNext/>
      <w:keepLines/>
      <w:numPr>
        <w:ilvl w:val="2"/>
        <w:numId w:val="18"/>
      </w:numPr>
      <w:spacing w:before="240" w:after="120" w:line="240" w:lineRule="auto"/>
      <w:jc w:val="center"/>
      <w:outlineLvl w:val="2"/>
    </w:pPr>
    <w:rPr>
      <w:rFonts w:ascii="Times New Roman" w:eastAsia="Times New Roman" w:hAnsi="Times New Roman" w:cs="Times New Roman"/>
      <w:i/>
      <w:sz w:val="24"/>
      <w:szCs w:val="20"/>
    </w:rPr>
  </w:style>
  <w:style w:type="paragraph" w:customStyle="1" w:styleId="elenconumeri">
    <w:name w:val="(elenco numeri)"/>
    <w:basedOn w:val="Normale"/>
    <w:rsid w:val="002C1517"/>
    <w:pPr>
      <w:numPr>
        <w:ilvl w:val="7"/>
        <w:numId w:val="18"/>
      </w:numPr>
      <w:tabs>
        <w:tab w:val="left" w:pos="1418"/>
      </w:tabs>
      <w:spacing w:after="0" w:line="240" w:lineRule="auto"/>
      <w:outlineLvl w:val="7"/>
    </w:pPr>
    <w:rPr>
      <w:rFonts w:ascii="Times New Roman" w:eastAsia="Times New Roman" w:hAnsi="Times New Roman" w:cs="Times New Roman"/>
      <w:sz w:val="24"/>
      <w:szCs w:val="20"/>
    </w:rPr>
  </w:style>
  <w:style w:type="paragraph" w:styleId="Titolosommario">
    <w:name w:val="TOC Heading"/>
    <w:basedOn w:val="Titolo1"/>
    <w:next w:val="Normale"/>
    <w:uiPriority w:val="39"/>
    <w:unhideWhenUsed/>
    <w:qFormat/>
    <w:rsid w:val="00284B24"/>
    <w:pPr>
      <w:numPr>
        <w:numId w:val="0"/>
      </w:numPr>
      <w:spacing w:before="240" w:line="259" w:lineRule="auto"/>
      <w:jc w:val="left"/>
      <w:outlineLvl w:val="9"/>
    </w:pPr>
    <w:rPr>
      <w:rFonts w:asciiTheme="majorHAnsi" w:hAnsiTheme="majorHAnsi"/>
      <w:b w:val="0"/>
      <w:bCs w:val="0"/>
      <w:smallCaps w:val="0"/>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49720">
      <w:bodyDiv w:val="1"/>
      <w:marLeft w:val="0"/>
      <w:marRight w:val="0"/>
      <w:marTop w:val="0"/>
      <w:marBottom w:val="0"/>
      <w:divBdr>
        <w:top w:val="none" w:sz="0" w:space="0" w:color="auto"/>
        <w:left w:val="none" w:sz="0" w:space="0" w:color="auto"/>
        <w:bottom w:val="none" w:sz="0" w:space="0" w:color="auto"/>
        <w:right w:val="none" w:sz="0" w:space="0" w:color="auto"/>
      </w:divBdr>
    </w:div>
    <w:div w:id="459611729">
      <w:bodyDiv w:val="1"/>
      <w:marLeft w:val="0"/>
      <w:marRight w:val="0"/>
      <w:marTop w:val="0"/>
      <w:marBottom w:val="0"/>
      <w:divBdr>
        <w:top w:val="none" w:sz="0" w:space="0" w:color="auto"/>
        <w:left w:val="none" w:sz="0" w:space="0" w:color="auto"/>
        <w:bottom w:val="none" w:sz="0" w:space="0" w:color="auto"/>
        <w:right w:val="none" w:sz="0" w:space="0" w:color="auto"/>
      </w:divBdr>
    </w:div>
    <w:div w:id="472334399">
      <w:bodyDiv w:val="1"/>
      <w:marLeft w:val="0"/>
      <w:marRight w:val="0"/>
      <w:marTop w:val="0"/>
      <w:marBottom w:val="0"/>
      <w:divBdr>
        <w:top w:val="none" w:sz="0" w:space="0" w:color="auto"/>
        <w:left w:val="none" w:sz="0" w:space="0" w:color="auto"/>
        <w:bottom w:val="none" w:sz="0" w:space="0" w:color="auto"/>
        <w:right w:val="none" w:sz="0" w:space="0" w:color="auto"/>
      </w:divBdr>
    </w:div>
    <w:div w:id="512187358">
      <w:bodyDiv w:val="1"/>
      <w:marLeft w:val="0"/>
      <w:marRight w:val="0"/>
      <w:marTop w:val="0"/>
      <w:marBottom w:val="0"/>
      <w:divBdr>
        <w:top w:val="none" w:sz="0" w:space="0" w:color="auto"/>
        <w:left w:val="none" w:sz="0" w:space="0" w:color="auto"/>
        <w:bottom w:val="none" w:sz="0" w:space="0" w:color="auto"/>
        <w:right w:val="none" w:sz="0" w:space="0" w:color="auto"/>
      </w:divBdr>
    </w:div>
    <w:div w:id="674261736">
      <w:bodyDiv w:val="1"/>
      <w:marLeft w:val="0"/>
      <w:marRight w:val="0"/>
      <w:marTop w:val="0"/>
      <w:marBottom w:val="0"/>
      <w:divBdr>
        <w:top w:val="none" w:sz="0" w:space="0" w:color="auto"/>
        <w:left w:val="none" w:sz="0" w:space="0" w:color="auto"/>
        <w:bottom w:val="none" w:sz="0" w:space="0" w:color="auto"/>
        <w:right w:val="none" w:sz="0" w:space="0" w:color="auto"/>
      </w:divBdr>
    </w:div>
    <w:div w:id="764961751">
      <w:bodyDiv w:val="1"/>
      <w:marLeft w:val="0"/>
      <w:marRight w:val="0"/>
      <w:marTop w:val="0"/>
      <w:marBottom w:val="0"/>
      <w:divBdr>
        <w:top w:val="none" w:sz="0" w:space="0" w:color="auto"/>
        <w:left w:val="none" w:sz="0" w:space="0" w:color="auto"/>
        <w:bottom w:val="none" w:sz="0" w:space="0" w:color="auto"/>
        <w:right w:val="none" w:sz="0" w:space="0" w:color="auto"/>
      </w:divBdr>
    </w:div>
    <w:div w:id="822814410">
      <w:bodyDiv w:val="1"/>
      <w:marLeft w:val="0"/>
      <w:marRight w:val="0"/>
      <w:marTop w:val="0"/>
      <w:marBottom w:val="0"/>
      <w:divBdr>
        <w:top w:val="none" w:sz="0" w:space="0" w:color="auto"/>
        <w:left w:val="none" w:sz="0" w:space="0" w:color="auto"/>
        <w:bottom w:val="none" w:sz="0" w:space="0" w:color="auto"/>
        <w:right w:val="none" w:sz="0" w:space="0" w:color="auto"/>
      </w:divBdr>
    </w:div>
    <w:div w:id="977297860">
      <w:bodyDiv w:val="1"/>
      <w:marLeft w:val="0"/>
      <w:marRight w:val="0"/>
      <w:marTop w:val="0"/>
      <w:marBottom w:val="0"/>
      <w:divBdr>
        <w:top w:val="none" w:sz="0" w:space="0" w:color="auto"/>
        <w:left w:val="none" w:sz="0" w:space="0" w:color="auto"/>
        <w:bottom w:val="none" w:sz="0" w:space="0" w:color="auto"/>
        <w:right w:val="none" w:sz="0" w:space="0" w:color="auto"/>
      </w:divBdr>
      <w:divsChild>
        <w:div w:id="1510490172">
          <w:marLeft w:val="0"/>
          <w:marRight w:val="0"/>
          <w:marTop w:val="0"/>
          <w:marBottom w:val="0"/>
          <w:divBdr>
            <w:top w:val="none" w:sz="0" w:space="0" w:color="auto"/>
            <w:left w:val="none" w:sz="0" w:space="0" w:color="auto"/>
            <w:bottom w:val="none" w:sz="0" w:space="0" w:color="auto"/>
            <w:right w:val="none" w:sz="0" w:space="0" w:color="auto"/>
          </w:divBdr>
        </w:div>
        <w:div w:id="1431392293">
          <w:marLeft w:val="0"/>
          <w:marRight w:val="0"/>
          <w:marTop w:val="0"/>
          <w:marBottom w:val="0"/>
          <w:divBdr>
            <w:top w:val="none" w:sz="0" w:space="0" w:color="auto"/>
            <w:left w:val="none" w:sz="0" w:space="0" w:color="auto"/>
            <w:bottom w:val="none" w:sz="0" w:space="0" w:color="auto"/>
            <w:right w:val="none" w:sz="0" w:space="0" w:color="auto"/>
          </w:divBdr>
        </w:div>
      </w:divsChild>
    </w:div>
    <w:div w:id="1340818298">
      <w:bodyDiv w:val="1"/>
      <w:marLeft w:val="0"/>
      <w:marRight w:val="0"/>
      <w:marTop w:val="0"/>
      <w:marBottom w:val="0"/>
      <w:divBdr>
        <w:top w:val="none" w:sz="0" w:space="0" w:color="auto"/>
        <w:left w:val="none" w:sz="0" w:space="0" w:color="auto"/>
        <w:bottom w:val="none" w:sz="0" w:space="0" w:color="auto"/>
        <w:right w:val="none" w:sz="0" w:space="0" w:color="auto"/>
      </w:divBdr>
    </w:div>
    <w:div w:id="1591423284">
      <w:bodyDiv w:val="1"/>
      <w:marLeft w:val="0"/>
      <w:marRight w:val="0"/>
      <w:marTop w:val="0"/>
      <w:marBottom w:val="0"/>
      <w:divBdr>
        <w:top w:val="none" w:sz="0" w:space="0" w:color="auto"/>
        <w:left w:val="none" w:sz="0" w:space="0" w:color="auto"/>
        <w:bottom w:val="none" w:sz="0" w:space="0" w:color="auto"/>
        <w:right w:val="none" w:sz="0" w:space="0" w:color="auto"/>
      </w:divBdr>
    </w:div>
    <w:div w:id="1621759261">
      <w:bodyDiv w:val="1"/>
      <w:marLeft w:val="0"/>
      <w:marRight w:val="0"/>
      <w:marTop w:val="0"/>
      <w:marBottom w:val="0"/>
      <w:divBdr>
        <w:top w:val="none" w:sz="0" w:space="0" w:color="auto"/>
        <w:left w:val="none" w:sz="0" w:space="0" w:color="auto"/>
        <w:bottom w:val="none" w:sz="0" w:space="0" w:color="auto"/>
        <w:right w:val="none" w:sz="0" w:space="0" w:color="auto"/>
      </w:divBdr>
    </w:div>
    <w:div w:id="16409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94AA-9AD8-43FB-899D-F5AEAA28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1993</Words>
  <Characters>11363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Account Microsoft</cp:lastModifiedBy>
  <cp:revision>19</cp:revision>
  <cp:lastPrinted>2020-01-24T06:20:00Z</cp:lastPrinted>
  <dcterms:created xsi:type="dcterms:W3CDTF">2020-12-18T18:20:00Z</dcterms:created>
  <dcterms:modified xsi:type="dcterms:W3CDTF">2021-05-12T17:36:00Z</dcterms:modified>
</cp:coreProperties>
</file>