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36" w:type="dxa"/>
        <w:tblInd w:w="48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36"/>
      </w:tblGrid>
      <w:tr w:rsidR="00C3715C">
        <w:tblPrEx>
          <w:tblCellMar>
            <w:top w:w="0" w:type="dxa"/>
            <w:bottom w:w="0" w:type="dxa"/>
          </w:tblCellMar>
        </w:tblPrEx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ind w:left="7"/>
              <w:jc w:val="center"/>
              <w:rPr>
                <w:rFonts w:eastAsia="Calibri" w:cs="Calibri"/>
                <w:b/>
                <w:color w:val="auto"/>
              </w:rPr>
            </w:pPr>
            <w:bookmarkStart w:id="0" w:name="_GoBack"/>
            <w:bookmarkEnd w:id="0"/>
            <w:r>
              <w:rPr>
                <w:rFonts w:eastAsia="Calibri" w:cs="Calibri"/>
                <w:b/>
                <w:color w:val="auto"/>
              </w:rPr>
              <w:t>Modello 6  - Dichiarazione ausiliaria</w:t>
            </w:r>
          </w:p>
        </w:tc>
      </w:tr>
    </w:tbl>
    <w:p w:rsidR="00C3715C" w:rsidRDefault="00C3715C">
      <w:pPr>
        <w:pStyle w:val="Standard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jc w:val="center"/>
        <w:rPr>
          <w:rFonts w:eastAsia="Calibri" w:cs="Calibri"/>
          <w:b/>
          <w:color w:val="auto"/>
          <w:sz w:val="20"/>
        </w:rPr>
      </w:pPr>
      <w:r>
        <w:rPr>
          <w:rFonts w:eastAsia="Calibri" w:cs="Calibri"/>
          <w:b/>
          <w:color w:val="auto"/>
          <w:sz w:val="20"/>
        </w:rPr>
        <w:t xml:space="preserve">                                                                                                                                    </w:t>
      </w:r>
    </w:p>
    <w:p w:rsidR="00C3715C" w:rsidRDefault="00D94E22">
      <w:pPr>
        <w:pStyle w:val="Standard"/>
        <w:spacing w:before="60" w:after="60"/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 xml:space="preserve">OGGETTO: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Procedura aperta per l’affidamento in concessione del servizio di gestione, efficientamento energetico, adeguamento normativo, manutenzione ordinaria e straordinaria comprensiva della fornitura di energia elettrica degli impianti di illuminazione pubblica </w:t>
      </w:r>
      <w:r>
        <w:rPr>
          <w:rFonts w:ascii="Times New Roman" w:eastAsia="Times New Roman" w:hAnsi="Times New Roman" w:cs="Times New Roman"/>
          <w:color w:val="auto"/>
          <w:sz w:val="22"/>
        </w:rPr>
        <w:t>e degli impianti semaforici con predisposizione degli stessi ai servizi di Smart Cities del Comune di Oristano (Articolo 183, comma 15 del decreto legislativo n. 50 del 2016)</w:t>
      </w:r>
    </w:p>
    <w:p w:rsidR="00C3715C" w:rsidRDefault="00D94E22">
      <w:pPr>
        <w:pStyle w:val="Standard"/>
        <w:spacing w:after="120"/>
        <w:ind w:right="54"/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>Ente Appaltante: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COMUNE DI ORISTANO</w:t>
      </w:r>
    </w:p>
    <w:p w:rsidR="00C3715C" w:rsidRDefault="00C3715C">
      <w:pPr>
        <w:pStyle w:val="Standard"/>
        <w:spacing w:after="120"/>
        <w:ind w:right="54"/>
        <w:jc w:val="both"/>
        <w:rPr>
          <w:rFonts w:ascii="Times New Roman" w:eastAsia="Times New Roman" w:hAnsi="Times New Roman" w:cs="Times New Roman"/>
          <w:color w:val="00000A"/>
          <w:sz w:val="22"/>
        </w:rPr>
      </w:pPr>
    </w:p>
    <w:p w:rsidR="00C3715C" w:rsidRDefault="00D94E22">
      <w:pPr>
        <w:pStyle w:val="Standard"/>
        <w:spacing w:before="187" w:line="480" w:lineRule="auto"/>
        <w:ind w:left="24"/>
        <w:jc w:val="both"/>
      </w:pPr>
      <w:r>
        <w:rPr>
          <w:rFonts w:ascii="Times New Roman" w:eastAsia="Times New Roman" w:hAnsi="Times New Roman" w:cs="Times New Roman"/>
          <w:i/>
          <w:color w:val="00000A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2"/>
        </w:rPr>
        <w:t>CIG:</w:t>
      </w:r>
      <w:r>
        <w:rPr>
          <w:rFonts w:ascii="Times New Roman" w:eastAsia="Times New Roman" w:hAnsi="Times New Roman" w:cs="Times New Roman"/>
          <w:color w:val="FF0000"/>
          <w:sz w:val="22"/>
        </w:rPr>
        <w:t xml:space="preserve"> </w:t>
      </w:r>
      <w:r>
        <w:rPr>
          <w:rFonts w:ascii="Times New Roman" w:eastAsia="Times New Roman" w:hAnsi="Times New Roman" w:cs="Calibri"/>
          <w:b/>
          <w:bCs/>
          <w:smallCaps/>
          <w:spacing w:val="1"/>
          <w:w w:val="85"/>
          <w:sz w:val="22"/>
          <w:szCs w:val="22"/>
          <w:shd w:val="clear" w:color="auto" w:fill="FFFFFF"/>
        </w:rPr>
        <w:t>9323995415</w:t>
      </w:r>
      <w:r>
        <w:rPr>
          <w:rFonts w:ascii="Times New Roman" w:eastAsia="Times New Roman" w:hAnsi="Times New Roman" w:cs="Times New Roman"/>
          <w:smallCaps/>
          <w:color w:val="00000A"/>
          <w:sz w:val="22"/>
        </w:rPr>
        <w:t xml:space="preserve">   </w:t>
      </w:r>
      <w:r>
        <w:rPr>
          <w:rFonts w:ascii="Times New Roman" w:eastAsia="Times New Roman" w:hAnsi="Times New Roman" w:cs="Times New Roman"/>
          <w:i/>
          <w:smallCaps/>
          <w:color w:val="00000A"/>
          <w:sz w:val="22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/>
          <w:smallCaps/>
          <w:sz w:val="22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Calibri"/>
          <w:b/>
          <w:bCs/>
          <w:smallCaps/>
          <w:spacing w:val="1"/>
          <w:w w:val="85"/>
          <w:sz w:val="22"/>
          <w:szCs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mallCaps/>
          <w:sz w:val="22"/>
          <w:shd w:val="clear" w:color="auto" w:fill="FFFFFF"/>
        </w:rPr>
        <w:t xml:space="preserve">                                                CUP: </w:t>
      </w:r>
      <w:r>
        <w:rPr>
          <w:rFonts w:ascii="Times New Roman" w:eastAsia="Times New Roman" w:hAnsi="Times New Roman" w:cs="Calibri"/>
          <w:b/>
          <w:bCs/>
          <w:i/>
          <w:smallCaps/>
          <w:spacing w:val="1"/>
          <w:w w:val="85"/>
          <w:szCs w:val="20"/>
          <w:shd w:val="clear" w:color="auto" w:fill="FFFFFF"/>
        </w:rPr>
        <w:t>H14H22000710005</w:t>
      </w:r>
      <w:r>
        <w:rPr>
          <w:rFonts w:ascii="Times New Roman" w:eastAsia="Times New Roman" w:hAnsi="Times New Roman" w:cs="Times New Roman"/>
          <w:smallCaps/>
          <w:color w:val="00000A"/>
          <w:sz w:val="22"/>
        </w:rPr>
        <w:t xml:space="preserve">                                                                     </w:t>
      </w:r>
    </w:p>
    <w:p w:rsidR="00C3715C" w:rsidRDefault="00D94E22">
      <w:pPr>
        <w:pStyle w:val="Standard"/>
        <w:rPr>
          <w:rFonts w:eastAsia="Calibri" w:cs="Calibri"/>
          <w:b/>
          <w:color w:val="auto"/>
          <w:sz w:val="20"/>
        </w:rPr>
      </w:pPr>
      <w:r>
        <w:rPr>
          <w:rFonts w:eastAsia="Calibri" w:cs="Calibri"/>
          <w:b/>
          <w:color w:val="auto"/>
          <w:sz w:val="20"/>
        </w:rPr>
        <w:t xml:space="preserve">                                                                                                                                                   </w:t>
      </w:r>
    </w:p>
    <w:p w:rsidR="00C3715C" w:rsidRDefault="00C3715C">
      <w:pPr>
        <w:pStyle w:val="Standard"/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>DICHIARAZIONI SOSTITUTIVE AI SENSI DE</w:t>
      </w:r>
      <w:r>
        <w:rPr>
          <w:rFonts w:ascii="Times New Roman" w:eastAsia="Times New Roman" w:hAnsi="Times New Roman" w:cs="Times New Roman"/>
          <w:b/>
          <w:color w:val="auto"/>
          <w:sz w:val="22"/>
        </w:rPr>
        <w:t>L D.P.R. 28 DICEMBRE 2000 N. 445 DA PARTE DELL'IMPRESA AUSILIARIA NEL CASO IN CUI IL CONCORRENTE UTILIZZI L'ISTITUTO DELL'AVVALIMENTO.</w:t>
      </w:r>
      <w:r>
        <w:rPr>
          <w:rFonts w:ascii="Times New Roman" w:eastAsia="Times New Roman" w:hAnsi="Times New Roman" w:cs="Times New Roman"/>
          <w:b/>
          <w:i/>
          <w:color w:val="auto"/>
          <w:sz w:val="22"/>
        </w:rPr>
        <w:t xml:space="preserve">                                                                                                     </w:t>
      </w:r>
    </w:p>
    <w:p w:rsidR="00C3715C" w:rsidRDefault="00D94E22">
      <w:pPr>
        <w:pStyle w:val="Standard"/>
        <w:jc w:val="center"/>
        <w:rPr>
          <w:rFonts w:ascii="Times New Roman" w:eastAsia="Times New Roman" w:hAnsi="Times New Roman" w:cs="Times New Roman"/>
          <w:b/>
          <w:i/>
          <w:color w:val="0066CC"/>
          <w:sz w:val="22"/>
        </w:rPr>
      </w:pP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</w:r>
      <w:r>
        <w:rPr>
          <w:rFonts w:ascii="Times New Roman" w:eastAsia="Times New Roman" w:hAnsi="Times New Roman" w:cs="Times New Roman"/>
          <w:b/>
          <w:i/>
          <w:color w:val="0066CC"/>
          <w:sz w:val="22"/>
        </w:rPr>
        <w:tab/>
        <w:t xml:space="preserve">     </w:t>
      </w:r>
    </w:p>
    <w:p w:rsidR="00C3715C" w:rsidRDefault="00D94E22">
      <w:pPr>
        <w:pStyle w:val="Standard"/>
        <w:ind w:left="-12"/>
        <w:jc w:val="both"/>
      </w:pPr>
      <w:r>
        <w:rPr>
          <w:rFonts w:ascii="Times New Roman" w:eastAsia="Times New Roman" w:hAnsi="Times New Roman" w:cs="Times New Roman"/>
          <w:b/>
          <w:sz w:val="22"/>
        </w:rPr>
        <w:t>L</w:t>
      </w:r>
      <w:r>
        <w:rPr>
          <w:rFonts w:ascii="Times New Roman" w:eastAsia="Times New Roman" w:hAnsi="Times New Roman" w:cs="Times New Roman"/>
          <w:b/>
          <w:sz w:val="22"/>
        </w:rPr>
        <w:t xml:space="preserve">'impresa AUSILIARIA ovvero gli operatori economici di cui all'art 46 del Codice “indicati” ai fini della progettazione (del disciplinare di gara) dovrà compilare oltre al presente allegato anche l'Allegato 2 (DGUE) e l'Allegato 3.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DOVRA' INOLTRE ESSERE PRE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SENTATO IL CONTRATTO DI AVVALIMENTO</w:t>
      </w:r>
      <w:r>
        <w:rPr>
          <w:rFonts w:ascii="Times New Roman" w:eastAsia="Times New Roman" w:hAnsi="Times New Roman" w:cs="Times New Roman"/>
          <w:b/>
          <w:sz w:val="22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Nel caso di soggetto indicato per la progettazione dovrà essere compilato anche l'Allegato 6</w:t>
      </w:r>
    </w:p>
    <w:p w:rsidR="00C3715C" w:rsidRDefault="00C3715C">
      <w:pPr>
        <w:pStyle w:val="Standard"/>
        <w:ind w:left="-12"/>
        <w:jc w:val="both"/>
        <w:rPr>
          <w:rFonts w:eastAsia="Calibri" w:cs="Calibri"/>
          <w:color w:val="auto"/>
          <w:sz w:val="22"/>
        </w:rPr>
      </w:pPr>
    </w:p>
    <w:p w:rsidR="00C3715C" w:rsidRDefault="00C3715C">
      <w:pPr>
        <w:pStyle w:val="Standard"/>
        <w:jc w:val="right"/>
        <w:rPr>
          <w:rFonts w:eastAsia="Calibri" w:cs="Calibri"/>
          <w:color w:val="auto"/>
          <w:sz w:val="22"/>
        </w:rPr>
      </w:pPr>
    </w:p>
    <w:tbl>
      <w:tblPr>
        <w:tblW w:w="11056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2"/>
        <w:gridCol w:w="585"/>
        <w:gridCol w:w="587"/>
        <w:gridCol w:w="313"/>
        <w:gridCol w:w="3076"/>
        <w:gridCol w:w="585"/>
        <w:gridCol w:w="585"/>
        <w:gridCol w:w="585"/>
        <w:gridCol w:w="751"/>
        <w:gridCol w:w="225"/>
        <w:gridCol w:w="525"/>
        <w:gridCol w:w="585"/>
        <w:gridCol w:w="875"/>
        <w:gridCol w:w="600"/>
        <w:gridCol w:w="417"/>
      </w:tblGrid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Il sottoscritto</w:t>
            </w:r>
          </w:p>
        </w:tc>
        <w:tc>
          <w:tcPr>
            <w:tcW w:w="4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26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codice fiscale n.</w:t>
            </w:r>
          </w:p>
        </w:tc>
        <w:tc>
          <w:tcPr>
            <w:tcW w:w="189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nato il</w:t>
            </w:r>
          </w:p>
        </w:tc>
        <w:tc>
          <w:tcPr>
            <w:tcW w:w="39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a</w:t>
            </w:r>
          </w:p>
        </w:tc>
        <w:tc>
          <w:tcPr>
            <w:tcW w:w="3978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in qualità di</w:t>
            </w:r>
          </w:p>
        </w:tc>
        <w:tc>
          <w:tcPr>
            <w:tcW w:w="91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dell’impresa</w:t>
            </w:r>
          </w:p>
        </w:tc>
        <w:tc>
          <w:tcPr>
            <w:tcW w:w="91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con sede in</w:t>
            </w:r>
          </w:p>
        </w:tc>
        <w:tc>
          <w:tcPr>
            <w:tcW w:w="9122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in via</w:t>
            </w:r>
          </w:p>
        </w:tc>
        <w:tc>
          <w:tcPr>
            <w:tcW w:w="7292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n.</w:t>
            </w:r>
          </w:p>
        </w:tc>
        <w:tc>
          <w:tcPr>
            <w:tcW w:w="14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Cap.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Tel. n.</w:t>
            </w:r>
          </w:p>
        </w:tc>
        <w:tc>
          <w:tcPr>
            <w:tcW w:w="5146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  <w:tc>
          <w:tcPr>
            <w:tcW w:w="1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Fax n.</w:t>
            </w:r>
          </w:p>
        </w:tc>
        <w:tc>
          <w:tcPr>
            <w:tcW w:w="322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partita IVA n.</w:t>
            </w:r>
          </w:p>
        </w:tc>
        <w:tc>
          <w:tcPr>
            <w:tcW w:w="88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codice fiscale</w:t>
            </w:r>
          </w:p>
        </w:tc>
        <w:tc>
          <w:tcPr>
            <w:tcW w:w="880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  <w:tr w:rsidR="00C3715C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tabs>
                <w:tab w:val="left" w:pos="-2902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indirizzo di posta elettronica certificata (PEC)</w:t>
            </w:r>
          </w:p>
        </w:tc>
      </w:tr>
      <w:tr w:rsidR="00C3715C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C3715C">
            <w:pPr>
              <w:pStyle w:val="Standard"/>
              <w:spacing w:line="360" w:lineRule="auto"/>
              <w:ind w:left="425"/>
              <w:jc w:val="both"/>
              <w:rPr>
                <w:rFonts w:eastAsia="Calibri" w:cs="Calibri"/>
                <w:color w:val="auto"/>
                <w:sz w:val="22"/>
              </w:rPr>
            </w:pPr>
          </w:p>
          <w:p w:rsidR="00C3715C" w:rsidRDefault="00D94E22">
            <w:pPr>
              <w:pStyle w:val="Standard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ai sensi degli articoli 46 e 47 del D.P.R. 445/2000 recante il Testo Unico delle disposizioni legislative e regolamentari in materia di documentazione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amministrativa, consapevole delle sanzioni penali previste dall'articolo 76 del medesimo D.P.R. 445/2000, per le ipotesi di falsità in atti e dichiarazioni mendaci ivi indicate,</w:t>
            </w:r>
          </w:p>
        </w:tc>
      </w:tr>
      <w:tr w:rsidR="00C3715C">
        <w:tblPrEx>
          <w:tblCellMar>
            <w:top w:w="0" w:type="dxa"/>
            <w:bottom w:w="0" w:type="dxa"/>
          </w:tblCellMar>
        </w:tblPrEx>
        <w:tc>
          <w:tcPr>
            <w:tcW w:w="11057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3715C" w:rsidRDefault="00D94E22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DICHIARA</w:t>
            </w:r>
          </w:p>
          <w:p w:rsidR="00C3715C" w:rsidRDefault="00C3715C">
            <w:pPr>
              <w:pStyle w:val="Standard"/>
              <w:jc w:val="center"/>
              <w:rPr>
                <w:rFonts w:eastAsia="Calibri" w:cs="Calibri"/>
                <w:color w:val="auto"/>
                <w:sz w:val="22"/>
              </w:rPr>
            </w:pPr>
          </w:p>
          <w:p w:rsidR="00C3715C" w:rsidRDefault="00D94E22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 xml:space="preserve">di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rivestire il ruolo di impresa ausiliaria </w:t>
            </w:r>
            <w:r>
              <w:rPr>
                <w:rFonts w:ascii="Times New Roman" w:eastAsia="Times New Roman" w:hAnsi="Times New Roman" w:cs="Times New Roman"/>
                <w:b/>
                <w:color w:val="FF3333"/>
                <w:sz w:val="22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soggetto  indicato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per la progettazione 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nei confronti dell'operatore economico (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2"/>
              </w:rPr>
              <w:t>indicare l'operatore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</w:rPr>
              <w:t>) …................................................................................., prestando ausilio allo stesso, con riferimento ai seguenti requisiti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che si dichiara di po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ssedere:</w:t>
            </w:r>
          </w:p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….......................................................................................................................................................................</w:t>
            </w:r>
          </w:p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  <w:p w:rsidR="00C3715C" w:rsidRDefault="00D94E22">
            <w:pPr>
              <w:pStyle w:val="Standard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….....................................................................................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22"/>
              </w:rPr>
              <w:t>..................................................................................</w:t>
            </w:r>
          </w:p>
          <w:p w:rsidR="00C3715C" w:rsidRDefault="00C3715C">
            <w:pPr>
              <w:pStyle w:val="Standard"/>
              <w:rPr>
                <w:rFonts w:eastAsia="Calibri" w:cs="Calibri"/>
                <w:color w:val="auto"/>
                <w:sz w:val="22"/>
              </w:rPr>
            </w:pPr>
          </w:p>
        </w:tc>
      </w:tr>
    </w:tbl>
    <w:p w:rsidR="00C3715C" w:rsidRDefault="00C3715C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50"/>
          <w:tab w:val="left" w:pos="1043"/>
        </w:tabs>
        <w:ind w:left="50" w:hanging="25"/>
        <w:jc w:val="both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- ai sensi dell’art. 89, comma 1 del D.lgs. 50/2016, </w:t>
      </w:r>
      <w:r>
        <w:rPr>
          <w:rFonts w:ascii="Times New Roman" w:eastAsia="Times New Roman" w:hAnsi="Times New Roman" w:cs="Times New Roman"/>
          <w:b/>
          <w:sz w:val="22"/>
        </w:rPr>
        <w:t>di obbligarsi verso il concorrente e verso la stazione appaltante</w:t>
      </w:r>
      <w:r>
        <w:rPr>
          <w:rFonts w:ascii="Times New Roman" w:eastAsia="Times New Roman" w:hAnsi="Times New Roman" w:cs="Times New Roman"/>
          <w:sz w:val="22"/>
        </w:rPr>
        <w:t xml:space="preserve"> a mettere a disposizione per tutta la durata dell’appalto le risorse necessarie di cui è carente il concorrente;</w:t>
      </w:r>
    </w:p>
    <w:p w:rsidR="00C3715C" w:rsidRDefault="00C3715C">
      <w:pPr>
        <w:pStyle w:val="Standard"/>
        <w:numPr>
          <w:ilvl w:val="0"/>
          <w:numId w:val="1"/>
        </w:numPr>
        <w:tabs>
          <w:tab w:val="left" w:pos="-335"/>
          <w:tab w:val="left" w:pos="658"/>
        </w:tabs>
        <w:ind w:left="-335" w:firstLine="335"/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- ai sensi dell’art. 89, comma 7 del D.lgs. 50/2016, di non ausiliare più di un concorrente alla presente procedura né di partecipare alla ga</w:t>
      </w:r>
      <w:r>
        <w:rPr>
          <w:rFonts w:ascii="Times New Roman" w:eastAsia="Times New Roman" w:hAnsi="Times New Roman" w:cs="Times New Roman"/>
          <w:sz w:val="22"/>
        </w:rPr>
        <w:t>ra in proprio, o in qualità di associata o consorziata ai sensi dell’art. 45 del D.lgs. 50/2016;</w:t>
      </w:r>
    </w:p>
    <w:p w:rsidR="00C3715C" w:rsidRDefault="00C3715C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- di essere consapevole che, in base all’art. 89, comma 9 del d.lgs. n. 50/2016:</w:t>
      </w:r>
    </w:p>
    <w:p w:rsidR="00C3715C" w:rsidRDefault="00D94E22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a) la stazione appaltante eseguirà in corso d'esecuzione le verifiche sostanz</w:t>
      </w:r>
      <w:r>
        <w:rPr>
          <w:rFonts w:ascii="Times New Roman" w:eastAsia="Times New Roman" w:hAnsi="Times New Roman" w:cs="Times New Roman"/>
          <w:sz w:val="22"/>
        </w:rPr>
        <w:t>iali circa l'effettivo possesso dei requisiti e delle risorse oggetto dell'avvalimento da parte dell'impresa ausiliaria, nonché l'effettivo impiego delle risorse medesime nell'esecuzione dell'appalto;</w:t>
      </w:r>
    </w:p>
    <w:p w:rsidR="00C3715C" w:rsidRDefault="00D94E22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b) che in relazione alle verifiche di cui al precedente</w:t>
      </w:r>
      <w:r>
        <w:rPr>
          <w:rFonts w:ascii="Times New Roman" w:eastAsia="Times New Roman" w:hAnsi="Times New Roman" w:cs="Times New Roman"/>
          <w:sz w:val="22"/>
        </w:rPr>
        <w:t xml:space="preserve"> punto, il responsabile unico del procedimento accerterà in corso d'opera che le prestazioni oggetto di contratto siano svolte direttamente dalle risorse umane e strumentali dell'impresa ausiliaria che il titolare del contratto utilizza in adempimento degl</w:t>
      </w:r>
      <w:r>
        <w:rPr>
          <w:rFonts w:ascii="Times New Roman" w:eastAsia="Times New Roman" w:hAnsi="Times New Roman" w:cs="Times New Roman"/>
          <w:sz w:val="22"/>
        </w:rPr>
        <w:t>i obblighi derivanti dal contratto di avvalimento.</w:t>
      </w:r>
    </w:p>
    <w:p w:rsidR="00C3715C" w:rsidRDefault="00C3715C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eastAsia="Calibri" w:cs="Calibri"/>
          <w:color w:val="auto"/>
          <w:sz w:val="22"/>
        </w:rPr>
      </w:pPr>
    </w:p>
    <w:p w:rsidR="00C3715C" w:rsidRDefault="00C3715C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25"/>
          <w:tab w:val="left" w:pos="1018"/>
        </w:tabs>
        <w:ind w:left="25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>Dichiara inoltre:</w:t>
      </w:r>
    </w:p>
    <w:p w:rsidR="00C3715C" w:rsidRDefault="00C3715C">
      <w:pPr>
        <w:pStyle w:val="Standard"/>
        <w:tabs>
          <w:tab w:val="left" w:pos="0"/>
          <w:tab w:val="left" w:pos="993"/>
        </w:tabs>
        <w:jc w:val="center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25"/>
          <w:tab w:val="left" w:pos="1018"/>
        </w:tabs>
        <w:ind w:left="25"/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>a</w:t>
      </w:r>
      <w:r>
        <w:rPr>
          <w:rFonts w:ascii="Times New Roman" w:eastAsia="Times New Roman" w:hAnsi="Times New Roman" w:cs="Times New Roman"/>
          <w:color w:val="auto"/>
          <w:sz w:val="22"/>
        </w:rPr>
        <w:t>)</w:t>
      </w:r>
      <w:r>
        <w:rPr>
          <w:rFonts w:ascii="Times New Roman" w:eastAsia="Times New Roman" w:hAnsi="Times New Roman" w:cs="Times New Roman"/>
          <w:b/>
          <w:color w:val="auto"/>
          <w:sz w:val="22"/>
        </w:rPr>
        <w:t xml:space="preserve"> di essere edotto degli obblighi derivanti dal Codice di comportamento adottato dalla stazione appaltante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accessibile nella sezione Amministrazione trasparente del sito </w:t>
      </w:r>
      <w:hyperlink r:id="rId7" w:history="1">
        <w:r>
          <w:t>www.comune.oristano.it</w:t>
        </w:r>
      </w:hyperlink>
      <w:r>
        <w:rPr>
          <w:rFonts w:ascii="Times New Roman" w:eastAsia="Times New Roman" w:hAnsi="Times New Roman" w:cs="Times New Roman"/>
          <w:color w:val="auto"/>
          <w:sz w:val="22"/>
        </w:rPr>
        <w:t xml:space="preserve"> e si impegna, in caso di aggiudicazione, ad osservare e a far osservare ai propri dipendenti e collaboratori, per quanto applicabile, il suddetto codice, pena la risoluzione del contratto;</w:t>
      </w:r>
    </w:p>
    <w:p w:rsidR="00C3715C" w:rsidRDefault="00C3715C">
      <w:pPr>
        <w:pStyle w:val="Standard"/>
        <w:tabs>
          <w:tab w:val="left" w:pos="25"/>
          <w:tab w:val="left" w:pos="1018"/>
        </w:tabs>
        <w:ind w:left="25"/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0"/>
          <w:tab w:val="left" w:pos="993"/>
        </w:tabs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 xml:space="preserve">b) </w:t>
      </w:r>
      <w:r>
        <w:rPr>
          <w:rFonts w:ascii="Times New Roman" w:eastAsia="Times New Roman" w:hAnsi="Times New Roman" w:cs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</w:rPr>
        <w:t>dichiara di:</w:t>
      </w:r>
    </w:p>
    <w:p w:rsidR="00C3715C" w:rsidRDefault="00D94E22">
      <w:pPr>
        <w:pStyle w:val="Standard"/>
        <w:spacing w:after="119"/>
        <w:jc w:val="both"/>
      </w:pP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</w:rPr>
        <w:t>essere iscritto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nell’elenco dei fornitori, prestatori di servizi non soggetti a tentativo di infiltrazione mafiosa (c.d. </w:t>
      </w:r>
      <w:r>
        <w:rPr>
          <w:rFonts w:ascii="Times New Roman" w:eastAsia="Times New Roman" w:hAnsi="Times New Roman" w:cs="Times New Roman"/>
          <w:i/>
          <w:color w:val="auto"/>
          <w:sz w:val="22"/>
        </w:rPr>
        <w:t>white list</w:t>
      </w:r>
      <w:r>
        <w:rPr>
          <w:rFonts w:ascii="Times New Roman" w:eastAsia="Times New Roman" w:hAnsi="Times New Roman" w:cs="Times New Roman"/>
          <w:color w:val="auto"/>
          <w:sz w:val="22"/>
        </w:rPr>
        <w:t>), istituito presso la Prefettura competente;</w:t>
      </w:r>
    </w:p>
    <w:p w:rsidR="00C3715C" w:rsidRDefault="00D94E22">
      <w:pPr>
        <w:pStyle w:val="Standard"/>
        <w:spacing w:after="119"/>
        <w:jc w:val="both"/>
      </w:pP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</w:rPr>
        <w:t>non essere iscritto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nell’elenco dei fornitori, prestatori di s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ervizi non soggetti a tentativo di infiltrazione mafiosa (c.d. </w:t>
      </w:r>
      <w:r>
        <w:rPr>
          <w:rFonts w:ascii="Times New Roman" w:eastAsia="Times New Roman" w:hAnsi="Times New Roman" w:cs="Times New Roman"/>
          <w:i/>
          <w:color w:val="auto"/>
          <w:sz w:val="22"/>
        </w:rPr>
        <w:t>white list</w:t>
      </w:r>
      <w:r>
        <w:rPr>
          <w:rFonts w:ascii="Times New Roman" w:eastAsia="Times New Roman" w:hAnsi="Times New Roman" w:cs="Times New Roman"/>
          <w:color w:val="auto"/>
          <w:sz w:val="22"/>
        </w:rPr>
        <w:t>), istituito presso la Prefettura competente</w:t>
      </w:r>
    </w:p>
    <w:p w:rsidR="00C3715C" w:rsidRDefault="00D94E22">
      <w:pPr>
        <w:pStyle w:val="Standard"/>
        <w:spacing w:after="119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oppure</w:t>
      </w:r>
    </w:p>
    <w:p w:rsidR="00C3715C" w:rsidRDefault="00D94E22">
      <w:pPr>
        <w:pStyle w:val="Standard"/>
        <w:tabs>
          <w:tab w:val="left" w:pos="0"/>
          <w:tab w:val="left" w:pos="993"/>
        </w:tabs>
        <w:jc w:val="both"/>
      </w:pP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</w:rPr>
        <w:t>aver presentato domanda di iscrizione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nell’elenco dei fornitori, prestatori di servizi non soggetti a tentativo di infiltrazione mafiosa (c.d. </w:t>
      </w:r>
      <w:r>
        <w:rPr>
          <w:rFonts w:ascii="Times New Roman" w:eastAsia="Times New Roman" w:hAnsi="Times New Roman" w:cs="Times New Roman"/>
          <w:i/>
          <w:color w:val="auto"/>
          <w:sz w:val="22"/>
        </w:rPr>
        <w:t>white list</w:t>
      </w:r>
      <w:r>
        <w:rPr>
          <w:rFonts w:ascii="Times New Roman" w:eastAsia="Times New Roman" w:hAnsi="Times New Roman" w:cs="Times New Roman"/>
          <w:color w:val="auto"/>
          <w:sz w:val="22"/>
        </w:rPr>
        <w:t>).</w:t>
      </w:r>
    </w:p>
    <w:p w:rsidR="00C3715C" w:rsidRDefault="00C3715C">
      <w:pPr>
        <w:pStyle w:val="Standard"/>
        <w:tabs>
          <w:tab w:val="left" w:pos="0"/>
          <w:tab w:val="left" w:pos="993"/>
        </w:tabs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0"/>
          <w:tab w:val="left" w:pos="993"/>
        </w:tabs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>c)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2"/>
        </w:rPr>
        <w:t>(Per gli operatori economici non residenti e privi di stabile organizzazione in Italia)</w:t>
      </w:r>
    </w:p>
    <w:p w:rsidR="00C3715C" w:rsidRDefault="00D94E22">
      <w:pPr>
        <w:pStyle w:val="Standard"/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 xml:space="preserve">si </w:t>
      </w:r>
      <w:r>
        <w:rPr>
          <w:rFonts w:ascii="Times New Roman" w:eastAsia="Times New Roman" w:hAnsi="Times New Roman" w:cs="Times New Roman"/>
          <w:color w:val="auto"/>
          <w:sz w:val="22"/>
        </w:rPr>
        <w:t>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C3715C" w:rsidRDefault="00D94E22">
      <w:pPr>
        <w:pStyle w:val="Standard"/>
        <w:spacing w:before="60" w:after="60"/>
        <w:ind w:right="40"/>
        <w:jc w:val="both"/>
      </w:pPr>
      <w:r>
        <w:rPr>
          <w:rFonts w:ascii="Times New Roman" w:eastAsia="Times New Roman" w:hAnsi="Times New Roman" w:cs="Times New Roman"/>
          <w:b/>
          <w:color w:val="auto"/>
          <w:sz w:val="22"/>
        </w:rPr>
        <w:t xml:space="preserve">d) 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attesta a</w:t>
      </w:r>
      <w:r>
        <w:rPr>
          <w:rFonts w:ascii="Times New Roman" w:eastAsia="Times New Roman" w:hAnsi="Times New Roman" w:cs="Times New Roman"/>
          <w:color w:val="auto"/>
          <w:sz w:val="22"/>
        </w:rPr>
        <w:t>i sensi dell’art. 13 del D.Lgs. n. 196/2003 “Codice in materia di protezione dei dati personali” ed ai sensi dell’art. 13 del Regolamento UE 679/2016 relativo alla protezione delle persone fisiche con riguardo al trattamento dei dati personali, nonché alla</w:t>
      </w:r>
      <w:r>
        <w:rPr>
          <w:rFonts w:ascii="Times New Roman" w:eastAsia="Times New Roman" w:hAnsi="Times New Roman" w:cs="Times New Roman"/>
          <w:color w:val="auto"/>
          <w:sz w:val="22"/>
        </w:rPr>
        <w:t xml:space="preserve"> libera circolazione di tali dati, di aver letto l’informativa sul trattamento dei dati personali contenuta nel disciplinare di gara e di essere consapevole che i dati personali raccolti saranno trattati, anche con strumenti informatici, esclusivamente nel</w:t>
      </w:r>
      <w:r>
        <w:rPr>
          <w:rFonts w:ascii="Times New Roman" w:eastAsia="Times New Roman" w:hAnsi="Times New Roman" w:cs="Times New Roman"/>
          <w:color w:val="auto"/>
          <w:sz w:val="22"/>
        </w:rPr>
        <w:t>l’ambito della presente gara e per le finalità ivi descritte, e di essere stato informato circa i diritti di cui agli articoli da 15 a 22 del Regolamento UE 679/2016.</w:t>
      </w:r>
    </w:p>
    <w:p w:rsidR="00C3715C" w:rsidRDefault="00C3715C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eastAsia="Calibri" w:cs="Calibri"/>
          <w:color w:val="auto"/>
          <w:sz w:val="22"/>
        </w:rPr>
      </w:pPr>
    </w:p>
    <w:p w:rsidR="00C3715C" w:rsidRDefault="00C3715C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i/>
          <w:color w:val="auto"/>
          <w:sz w:val="22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2"/>
        </w:rPr>
        <w:t>DATA E FIRMA</w:t>
      </w:r>
    </w:p>
    <w:p w:rsidR="00C3715C" w:rsidRDefault="00C3715C">
      <w:pPr>
        <w:pStyle w:val="Standard"/>
        <w:tabs>
          <w:tab w:val="left" w:leader="dot" w:pos="8824"/>
        </w:tabs>
        <w:jc w:val="center"/>
        <w:rPr>
          <w:rFonts w:eastAsia="Calibri" w:cs="Calibri"/>
          <w:color w:val="auto"/>
          <w:sz w:val="22"/>
        </w:rPr>
      </w:pPr>
    </w:p>
    <w:p w:rsidR="00C3715C" w:rsidRDefault="00D94E22">
      <w:pPr>
        <w:pStyle w:val="Standard"/>
        <w:tabs>
          <w:tab w:val="left" w:leader="dot" w:pos="8824"/>
        </w:tabs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>
        <w:rPr>
          <w:rFonts w:ascii="Times New Roman" w:eastAsia="Times New Roman" w:hAnsi="Times New Roman" w:cs="Times New Roman"/>
          <w:color w:val="auto"/>
          <w:sz w:val="22"/>
        </w:rPr>
        <w:t>______________________    ______________________</w:t>
      </w:r>
    </w:p>
    <w:p w:rsidR="00C3715C" w:rsidRDefault="00C3715C">
      <w:pPr>
        <w:pStyle w:val="Standard"/>
        <w:tabs>
          <w:tab w:val="left" w:pos="50"/>
          <w:tab w:val="left" w:pos="1043"/>
        </w:tabs>
        <w:ind w:left="50" w:hanging="25"/>
        <w:jc w:val="both"/>
        <w:rPr>
          <w:rFonts w:eastAsia="Calibri" w:cs="Calibri"/>
          <w:color w:val="auto"/>
          <w:sz w:val="22"/>
        </w:rPr>
      </w:pPr>
    </w:p>
    <w:p w:rsidR="00C3715C" w:rsidRDefault="00C3715C">
      <w:pPr>
        <w:pStyle w:val="Standard"/>
        <w:spacing w:before="100"/>
        <w:ind w:right="40"/>
        <w:jc w:val="both"/>
        <w:rPr>
          <w:rFonts w:eastAsia="Calibri" w:cs="Calibri"/>
          <w:color w:val="auto"/>
          <w:sz w:val="22"/>
        </w:rPr>
      </w:pPr>
    </w:p>
    <w:sectPr w:rsidR="00C371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22" w:rsidRDefault="00D94E22">
      <w:r>
        <w:separator/>
      </w:r>
    </w:p>
  </w:endnote>
  <w:endnote w:type="continuationSeparator" w:id="0">
    <w:p w:rsidR="00D94E22" w:rsidRDefault="00D9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22" w:rsidRDefault="00D94E22">
      <w:r>
        <w:separator/>
      </w:r>
    </w:p>
  </w:footnote>
  <w:footnote w:type="continuationSeparator" w:id="0">
    <w:p w:rsidR="00D94E22" w:rsidRDefault="00D94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87FF7"/>
    <w:multiLevelType w:val="multilevel"/>
    <w:tmpl w:val="F864B1A2"/>
    <w:lvl w:ilvl="0">
      <w:numFmt w:val="bullet"/>
      <w:lvlText w:val="•"/>
      <w:lvlJc w:val="left"/>
      <w:pPr>
        <w:ind w:left="385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3715C"/>
    <w:rsid w:val="00545BD5"/>
    <w:rsid w:val="00C3715C"/>
    <w:rsid w:val="00D9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28C17-BD45-4611-BB61-8EBB38B9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ellanormale1">
    <w:name w:val="Tabella normale1"/>
    <w:pPr>
      <w:widowControl/>
      <w:spacing w:after="160" w:line="256" w:lineRule="auto"/>
      <w:textAlignment w:val="auto"/>
    </w:pPr>
    <w:rPr>
      <w:rFonts w:eastAsia="Times New Roman" w:cs="Times New Roman"/>
      <w:sz w:val="22"/>
      <w:szCs w:val="22"/>
      <w:lang w:eastAsia="en-US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oristan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XRenzo Sitzia</dc:creator>
  <cp:lastModifiedBy>XRenzo Sitzia</cp:lastModifiedBy>
  <cp:revision>2</cp:revision>
  <dcterms:created xsi:type="dcterms:W3CDTF">2022-07-28T14:22:00Z</dcterms:created>
  <dcterms:modified xsi:type="dcterms:W3CDTF">2022-07-28T14:22:00Z</dcterms:modified>
</cp:coreProperties>
</file>