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9DDA" w14:textId="77777777" w:rsidR="000B1037" w:rsidRDefault="00E83707" w:rsidP="007628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PNR</w:t>
      </w:r>
      <w:r w:rsidR="007E69E5" w:rsidRPr="007E5D77">
        <w:rPr>
          <w:rFonts w:ascii="Arial" w:hAnsi="Arial" w:cs="Arial"/>
          <w:b/>
          <w:bCs/>
          <w:sz w:val="36"/>
          <w:szCs w:val="36"/>
        </w:rPr>
        <w:t xml:space="preserve">R </w:t>
      </w:r>
    </w:p>
    <w:p w14:paraId="08E228F3" w14:textId="06AC3A26" w:rsidR="007628F8" w:rsidRDefault="000B1037" w:rsidP="007628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Proposta </w:t>
      </w:r>
      <w:r w:rsidR="00B36F48">
        <w:rPr>
          <w:rFonts w:ascii="Arial" w:hAnsi="Arial" w:cs="Arial"/>
          <w:b/>
          <w:bCs/>
          <w:sz w:val="36"/>
          <w:szCs w:val="36"/>
        </w:rPr>
        <w:t>Comune di</w:t>
      </w:r>
      <w:r w:rsidR="002C0742">
        <w:rPr>
          <w:rFonts w:ascii="Arial" w:hAnsi="Arial" w:cs="Arial"/>
          <w:b/>
          <w:bCs/>
          <w:sz w:val="36"/>
          <w:szCs w:val="36"/>
        </w:rPr>
        <w:t xml:space="preserve"> </w:t>
      </w:r>
      <w:bookmarkStart w:id="0" w:name="_GoBack"/>
      <w:bookmarkEnd w:id="0"/>
      <w:r w:rsidR="002C0742">
        <w:rPr>
          <w:rFonts w:ascii="Arial" w:hAnsi="Arial" w:cs="Arial"/>
          <w:b/>
          <w:bCs/>
          <w:sz w:val="36"/>
          <w:szCs w:val="36"/>
        </w:rPr>
        <w:t>Oristano</w:t>
      </w:r>
    </w:p>
    <w:p w14:paraId="1EE02610" w14:textId="77777777" w:rsidR="00EE00B9" w:rsidRPr="007E5D77" w:rsidRDefault="00EE00B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D1948B" w14:textId="4464A5CD"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Missione PNRR </w:t>
      </w:r>
    </w:p>
    <w:p w14:paraId="51B6AD6A" w14:textId="131E9F6D" w:rsidR="006D7BEF" w:rsidRPr="007E5D77" w:rsidRDefault="009E2BF7" w:rsidP="006D7BEF">
      <w:pPr>
        <w:pStyle w:val="Contenutocorni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la missione o le missioni riferite al Piano</w:t>
      </w:r>
    </w:p>
    <w:p w14:paraId="6E6F1ECC" w14:textId="0AE53CDE" w:rsidR="00F167A9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E6A57">
        <w:rPr>
          <w:rFonts w:ascii="Arial" w:hAnsi="Arial" w:cs="Arial"/>
          <w:b/>
        </w:rPr>
        <w:t>Digitalizzazione, innovazione e competitività del sistema produttivo</w:t>
      </w:r>
    </w:p>
    <w:p w14:paraId="161B4087" w14:textId="6914FA96" w:rsidR="009E2BF7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E6A57">
        <w:rPr>
          <w:rFonts w:ascii="Arial" w:hAnsi="Arial" w:cs="Arial"/>
          <w:b/>
        </w:rPr>
        <w:t>Rivoluzione verde e transizione ecologica</w:t>
      </w:r>
    </w:p>
    <w:p w14:paraId="630AD946" w14:textId="77777777" w:rsidR="009E2BF7" w:rsidRPr="007E5D77" w:rsidRDefault="009E2BF7">
      <w:pPr>
        <w:rPr>
          <w:rFonts w:ascii="Arial" w:hAnsi="Arial" w:cs="Arial"/>
          <w:b/>
          <w:bCs/>
          <w:sz w:val="28"/>
          <w:szCs w:val="28"/>
        </w:rPr>
      </w:pPr>
    </w:p>
    <w:p w14:paraId="201D04CF" w14:textId="096C77BA" w:rsidR="006D7BEF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>Ambito tematico dei cluster PNRR</w:t>
      </w:r>
    </w:p>
    <w:p w14:paraId="5111887F" w14:textId="6B2DE5A0" w:rsidR="00F167A9" w:rsidRPr="009E2BF7" w:rsidRDefault="009E2BF7" w:rsidP="009E2BF7">
      <w:pPr>
        <w:pStyle w:val="Contenutocornice"/>
        <w:tabs>
          <w:tab w:val="left" w:pos="3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l’ambito/i tematico/ci riferiti al Piano </w:t>
      </w:r>
    </w:p>
    <w:p w14:paraId="389FDB0C" w14:textId="39996D0B" w:rsidR="009E2BF7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</w:rPr>
      </w:pPr>
      <w:r w:rsidRPr="004E6A57">
        <w:rPr>
          <w:rFonts w:ascii="Arial" w:hAnsi="Arial" w:cs="Arial"/>
          <w:b/>
          <w:color w:val="FF0000"/>
        </w:rPr>
        <w:t>Digitalizzazione, innovazione e competitività del sistema produttivo</w:t>
      </w:r>
    </w:p>
    <w:p w14:paraId="67A33C64" w14:textId="052F4C99" w:rsidR="009E2BF7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E6A57">
        <w:rPr>
          <w:rFonts w:ascii="Arial" w:hAnsi="Arial" w:cs="Arial"/>
          <w:b/>
        </w:rPr>
        <w:t>Innovazione tecnologica, digitalizzazione e sostegno alla competitività delle filiere strategiche (settore agroalimentare, industriale, patrimonio culturale e turistico) nonché del sistema editoriale.</w:t>
      </w:r>
    </w:p>
    <w:p w14:paraId="7C50AAC8" w14:textId="4A4512C9" w:rsidR="009E2BF7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E6A57">
        <w:rPr>
          <w:rFonts w:ascii="Arial" w:hAnsi="Arial" w:cs="Arial"/>
          <w:b/>
        </w:rPr>
        <w:t>Investimenti in R&amp; S, tecnologie emergenti e trasferimento tecnologico</w:t>
      </w:r>
    </w:p>
    <w:p w14:paraId="5ACF2A21" w14:textId="6498230F" w:rsidR="009E2BF7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E6A57">
        <w:rPr>
          <w:rFonts w:ascii="Arial" w:hAnsi="Arial" w:cs="Arial"/>
          <w:b/>
        </w:rPr>
        <w:t>Potenziamento e promozione dell’industria culturale e del turismo</w:t>
      </w:r>
    </w:p>
    <w:p w14:paraId="3DB4AE6C" w14:textId="0EDF7073" w:rsidR="009E2BF7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</w:rPr>
      </w:pPr>
      <w:r w:rsidRPr="004E6A57">
        <w:rPr>
          <w:rFonts w:ascii="Arial" w:hAnsi="Arial" w:cs="Arial"/>
          <w:b/>
          <w:color w:val="FF0000"/>
        </w:rPr>
        <w:t>Rivoluzione verde e transizione ecologica</w:t>
      </w:r>
    </w:p>
    <w:p w14:paraId="601C8C37" w14:textId="77777777" w:rsidR="00E4664B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E6A57">
        <w:rPr>
          <w:rFonts w:ascii="Arial" w:hAnsi="Arial" w:cs="Arial"/>
          <w:b/>
        </w:rPr>
        <w:t>Sostegno alla transizione ecologica per l’agricoltura</w:t>
      </w:r>
    </w:p>
    <w:p w14:paraId="3B85E891" w14:textId="72553783" w:rsidR="00E4664B" w:rsidRPr="004E6A57" w:rsidRDefault="00E4664B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E6A57">
        <w:rPr>
          <w:rFonts w:ascii="Arial" w:hAnsi="Arial" w:cs="Arial"/>
          <w:b/>
        </w:rPr>
        <w:t>Valorizzazione sostenibile del patrimonio culturale, paesaggistico e naturale</w:t>
      </w:r>
    </w:p>
    <w:p w14:paraId="28AE44BC" w14:textId="77777777" w:rsidR="00F167A9" w:rsidRPr="007E5D77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Titolo Progetto </w:t>
      </w:r>
    </w:p>
    <w:p w14:paraId="090685F9" w14:textId="77E93CC0" w:rsidR="00E4664B" w:rsidRDefault="00290249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COMPLETAMENTO DEL </w:t>
      </w:r>
      <w:r w:rsidR="00E4664B" w:rsidRPr="00E4664B">
        <w:rPr>
          <w:rFonts w:ascii="Arial" w:hAnsi="Arial" w:cs="Arial"/>
          <w:b/>
          <w:bCs/>
          <w:sz w:val="28"/>
          <w:szCs w:val="28"/>
        </w:rPr>
        <w:t>RECUPERO E RICONVERSIONE FUNZIONALE DELL'EX MATTATOIO</w:t>
      </w:r>
      <w:r>
        <w:rPr>
          <w:rFonts w:ascii="Arial" w:hAnsi="Arial" w:cs="Arial"/>
          <w:b/>
          <w:bCs/>
          <w:sz w:val="28"/>
          <w:szCs w:val="28"/>
        </w:rPr>
        <w:t xml:space="preserve"> DI </w:t>
      </w:r>
      <w:r w:rsidRPr="00290249">
        <w:rPr>
          <w:rFonts w:ascii="Arial" w:hAnsi="Arial" w:cs="Arial"/>
          <w:b/>
          <w:bCs/>
          <w:sz w:val="28"/>
          <w:szCs w:val="28"/>
        </w:rPr>
        <w:t>ORISTANO</w:t>
      </w:r>
    </w:p>
    <w:p w14:paraId="52A765F8" w14:textId="0C93B774" w:rsidR="00F167A9" w:rsidRPr="007E5D77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Motivazione </w:t>
      </w:r>
    </w:p>
    <w:p w14:paraId="323F4CF0" w14:textId="77777777" w:rsidR="00BD260A" w:rsidRDefault="00BD260A" w:rsidP="00BD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D260A">
        <w:rPr>
          <w:rFonts w:ascii="Arial" w:hAnsi="Arial" w:cs="Arial"/>
        </w:rPr>
        <w:t>Il Comune di Oristano nel 2016 è stato beneficiario di un finanziamento relativo al programma nazionale</w:t>
      </w:r>
      <w:r>
        <w:rPr>
          <w:rFonts w:ascii="Arial" w:hAnsi="Arial" w:cs="Arial"/>
        </w:rPr>
        <w:t xml:space="preserve"> </w:t>
      </w:r>
      <w:r w:rsidRPr="00BD260A">
        <w:rPr>
          <w:rFonts w:ascii="Arial" w:hAnsi="Arial" w:cs="Arial"/>
        </w:rPr>
        <w:t>straordinario di intervento per la riqualificazione urbana e la sicurezza della periferia nella zona est della</w:t>
      </w:r>
      <w:r>
        <w:rPr>
          <w:rFonts w:ascii="Arial" w:hAnsi="Arial" w:cs="Arial"/>
        </w:rPr>
        <w:t xml:space="preserve"> </w:t>
      </w:r>
      <w:r w:rsidRPr="00BD260A">
        <w:rPr>
          <w:rFonts w:ascii="Arial" w:hAnsi="Arial" w:cs="Arial"/>
        </w:rPr>
        <w:t>città. Un ambito urbano caratterizzato da situazioni di</w:t>
      </w:r>
      <w:r>
        <w:rPr>
          <w:rFonts w:ascii="Arial" w:hAnsi="Arial" w:cs="Arial"/>
        </w:rPr>
        <w:t xml:space="preserve"> </w:t>
      </w:r>
      <w:r w:rsidRPr="00BD260A">
        <w:rPr>
          <w:rFonts w:ascii="Arial" w:hAnsi="Arial" w:cs="Arial"/>
        </w:rPr>
        <w:t>marginalità economica, degrado edili</w:t>
      </w:r>
      <w:r>
        <w:rPr>
          <w:rFonts w:ascii="Arial" w:hAnsi="Arial" w:cs="Arial"/>
        </w:rPr>
        <w:t>zio e carenze di servizi.</w:t>
      </w:r>
    </w:p>
    <w:p w14:paraId="2F785245" w14:textId="5622140E" w:rsidR="00BD260A" w:rsidRPr="00BD260A" w:rsidRDefault="00BD260A" w:rsidP="00BD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D260A">
        <w:rPr>
          <w:rFonts w:ascii="Arial" w:hAnsi="Arial" w:cs="Arial"/>
        </w:rPr>
        <w:t>Il progetto si inserisce in questo ampio scenario di interventi di risanamento di ambiti urbani e</w:t>
      </w:r>
      <w:r>
        <w:rPr>
          <w:rFonts w:ascii="Arial" w:hAnsi="Arial" w:cs="Arial"/>
        </w:rPr>
        <w:t xml:space="preserve"> </w:t>
      </w:r>
      <w:r w:rsidRPr="00BD260A">
        <w:rPr>
          <w:rFonts w:ascii="Arial" w:hAnsi="Arial" w:cs="Arial"/>
        </w:rPr>
        <w:t>suburbani frammentati, obsoleti e in disuso, con l'obiettivo di aderire ad una direttrice urbana che realizza</w:t>
      </w:r>
      <w:r>
        <w:rPr>
          <w:rFonts w:ascii="Arial" w:hAnsi="Arial" w:cs="Arial"/>
        </w:rPr>
        <w:t xml:space="preserve"> </w:t>
      </w:r>
      <w:r w:rsidRPr="00BD260A">
        <w:rPr>
          <w:rFonts w:ascii="Arial" w:hAnsi="Arial" w:cs="Arial"/>
        </w:rPr>
        <w:t>un nuovo parco lineare individuato dalla pianificazione generale di "Oristano est".</w:t>
      </w:r>
    </w:p>
    <w:p w14:paraId="4734C07C" w14:textId="77777777" w:rsidR="00BD260A" w:rsidRDefault="00BD260A" w:rsidP="00BD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D260A">
        <w:rPr>
          <w:rFonts w:ascii="Arial" w:hAnsi="Arial" w:cs="Arial"/>
        </w:rPr>
        <w:t xml:space="preserve">L’obiettivo è quello di procedere al </w:t>
      </w:r>
      <w:r>
        <w:rPr>
          <w:rFonts w:ascii="Arial" w:hAnsi="Arial" w:cs="Arial"/>
        </w:rPr>
        <w:t xml:space="preserve">completamento dell’intervento di </w:t>
      </w:r>
      <w:r w:rsidRPr="00BD260A">
        <w:rPr>
          <w:rFonts w:ascii="Arial" w:hAnsi="Arial" w:cs="Arial"/>
        </w:rPr>
        <w:t xml:space="preserve">recupero dell’immobile </w:t>
      </w:r>
      <w:r>
        <w:rPr>
          <w:rFonts w:ascii="Arial" w:hAnsi="Arial" w:cs="Arial"/>
        </w:rPr>
        <w:t xml:space="preserve">adibito a Macello comunale e realizzato nel 1969 inserito nel descritto contesto urbano e già oggetto di un </w:t>
      </w:r>
      <w:r>
        <w:rPr>
          <w:rFonts w:ascii="Arial" w:hAnsi="Arial" w:cs="Arial"/>
        </w:rPr>
        <w:lastRenderedPageBreak/>
        <w:t>parziale intervento di recupero relativamente ad un primo stralcio funzionale dell’importo di € 1.000.000,00.</w:t>
      </w:r>
    </w:p>
    <w:p w14:paraId="65FB243F" w14:textId="5813CF8D" w:rsidR="00F51D3B" w:rsidRDefault="00BD260A" w:rsidP="00BD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La riqualificazione del complesso, che insiste su una </w:t>
      </w:r>
      <w:r w:rsidRPr="00BD260A">
        <w:rPr>
          <w:rFonts w:ascii="Arial" w:hAnsi="Arial" w:cs="Arial"/>
        </w:rPr>
        <w:t>superficie di circa 20.000 m²</w:t>
      </w:r>
      <w:r>
        <w:rPr>
          <w:rFonts w:ascii="Arial" w:hAnsi="Arial" w:cs="Arial"/>
        </w:rPr>
        <w:t>, prossima all’area SIC dello Stagno di Santa Giusta, da un lato realizza la porta di ingresso sul lato est del nuovo parco lineare con annessi i necessari servizi turistici, dall’altro si propone di realizzare una struttura polifu</w:t>
      </w:r>
      <w:r w:rsidR="00A753F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zionale </w:t>
      </w:r>
      <w:r w:rsidR="00F51D3B">
        <w:rPr>
          <w:rFonts w:ascii="Arial" w:hAnsi="Arial" w:cs="Arial"/>
        </w:rPr>
        <w:t>da destinare alla ricerca, sviluppo e promozione delle eccellenze del settore agroalimentare dell’Oristanese ma non solo.</w:t>
      </w:r>
    </w:p>
    <w:p w14:paraId="1B9BB93E" w14:textId="0AA6E7E5" w:rsidR="00F51D3B" w:rsidRDefault="008F7D90" w:rsidP="00BD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La struttura è destinate ad ospitare </w:t>
      </w:r>
      <w:r w:rsidR="00F51D3B">
        <w:rPr>
          <w:rFonts w:ascii="Arial" w:hAnsi="Arial" w:cs="Arial"/>
        </w:rPr>
        <w:t>un Living Lab (</w:t>
      </w:r>
      <w:r>
        <w:rPr>
          <w:rFonts w:ascii="Arial" w:hAnsi="Arial" w:cs="Arial"/>
        </w:rPr>
        <w:t xml:space="preserve">denominato </w:t>
      </w:r>
      <w:r w:rsidR="00F51D3B">
        <w:rPr>
          <w:rFonts w:ascii="Arial" w:hAnsi="Arial" w:cs="Arial"/>
        </w:rPr>
        <w:t xml:space="preserve">ILAB </w:t>
      </w:r>
      <w:proofErr w:type="spellStart"/>
      <w:r w:rsidR="00F51D3B">
        <w:rPr>
          <w:rFonts w:ascii="Arial" w:hAnsi="Arial" w:cs="Arial"/>
        </w:rPr>
        <w:t>Food</w:t>
      </w:r>
      <w:proofErr w:type="spellEnd"/>
      <w:r w:rsidR="00F51D3B">
        <w:rPr>
          <w:rFonts w:ascii="Arial" w:hAnsi="Arial" w:cs="Arial"/>
        </w:rPr>
        <w:t>) secondo due direttrici di intervento:</w:t>
      </w:r>
    </w:p>
    <w:p w14:paraId="3794972C" w14:textId="296699E1" w:rsidR="00F51D3B" w:rsidRDefault="00F51D3B" w:rsidP="00F5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1) LAB FOOD </w:t>
      </w:r>
      <w:r w:rsidRPr="00F51D3B">
        <w:rPr>
          <w:rFonts w:ascii="Arial" w:hAnsi="Arial" w:cs="Arial"/>
        </w:rPr>
        <w:t>un luogo che avrà come destinazione funzionale attività legate al</w:t>
      </w:r>
      <w:r>
        <w:rPr>
          <w:rFonts w:ascii="Arial" w:hAnsi="Arial" w:cs="Arial"/>
        </w:rPr>
        <w:t xml:space="preserve"> </w:t>
      </w:r>
      <w:r w:rsidRPr="00F51D3B">
        <w:rPr>
          <w:rFonts w:ascii="Arial" w:hAnsi="Arial" w:cs="Arial"/>
        </w:rPr>
        <w:t xml:space="preserve">cibo e alla tradizione culinaria locale, </w:t>
      </w:r>
      <w:r>
        <w:rPr>
          <w:rFonts w:ascii="Arial" w:hAnsi="Arial" w:cs="Arial"/>
        </w:rPr>
        <w:t xml:space="preserve">in una prospettiva di promozione dei </w:t>
      </w:r>
      <w:r w:rsidR="003B28F6">
        <w:rPr>
          <w:rFonts w:ascii="Arial" w:hAnsi="Arial" w:cs="Arial"/>
        </w:rPr>
        <w:t>prodotti dell’agroalimentare e di</w:t>
      </w:r>
      <w:r w:rsidR="003B28F6" w:rsidRPr="003B28F6">
        <w:rPr>
          <w:rFonts w:ascii="Arial" w:hAnsi="Arial" w:cs="Arial"/>
        </w:rPr>
        <w:t xml:space="preserve"> rivisitazione </w:t>
      </w:r>
      <w:r w:rsidR="003B28F6">
        <w:rPr>
          <w:rFonts w:ascii="Arial" w:hAnsi="Arial" w:cs="Arial"/>
        </w:rPr>
        <w:t xml:space="preserve">dei </w:t>
      </w:r>
      <w:proofErr w:type="spellStart"/>
      <w:r>
        <w:rPr>
          <w:rFonts w:ascii="Arial" w:hAnsi="Arial" w:cs="Arial"/>
        </w:rPr>
        <w:t>saperi</w:t>
      </w:r>
      <w:proofErr w:type="spellEnd"/>
      <w:r>
        <w:rPr>
          <w:rFonts w:ascii="Arial" w:hAnsi="Arial" w:cs="Arial"/>
        </w:rPr>
        <w:t xml:space="preserve"> culinari locali, </w:t>
      </w:r>
      <w:r w:rsidRPr="00F51D3B">
        <w:rPr>
          <w:rFonts w:ascii="Arial" w:hAnsi="Arial" w:cs="Arial"/>
        </w:rPr>
        <w:t xml:space="preserve">e che </w:t>
      </w:r>
      <w:r>
        <w:rPr>
          <w:rFonts w:ascii="Arial" w:hAnsi="Arial" w:cs="Arial"/>
        </w:rPr>
        <w:t xml:space="preserve">costituirà un </w:t>
      </w:r>
      <w:r w:rsidRPr="00F51D3B">
        <w:rPr>
          <w:rFonts w:ascii="Arial" w:hAnsi="Arial" w:cs="Arial"/>
        </w:rPr>
        <w:t xml:space="preserve">supporto </w:t>
      </w:r>
      <w:r>
        <w:rPr>
          <w:rFonts w:ascii="Arial" w:hAnsi="Arial" w:cs="Arial"/>
        </w:rPr>
        <w:t>alle attività di promozione turistica e di accoglienza</w:t>
      </w:r>
      <w:r w:rsidR="003B28F6">
        <w:rPr>
          <w:rFonts w:ascii="Arial" w:hAnsi="Arial" w:cs="Arial"/>
        </w:rPr>
        <w:t xml:space="preserve"> nell’ambito del citato parco lineare</w:t>
      </w:r>
      <w:r w:rsidR="008F7D90">
        <w:rPr>
          <w:rFonts w:ascii="Arial" w:hAnsi="Arial" w:cs="Arial"/>
        </w:rPr>
        <w:t xml:space="preserve"> e dello </w:t>
      </w:r>
      <w:r w:rsidR="009F3F47">
        <w:rPr>
          <w:rFonts w:ascii="Arial" w:hAnsi="Arial" w:cs="Arial"/>
        </w:rPr>
        <w:t>s</w:t>
      </w:r>
      <w:r w:rsidR="008F7D90">
        <w:rPr>
          <w:rFonts w:ascii="Arial" w:hAnsi="Arial" w:cs="Arial"/>
        </w:rPr>
        <w:t xml:space="preserve">tagno </w:t>
      </w:r>
      <w:r w:rsidR="00A753FD">
        <w:rPr>
          <w:rFonts w:ascii="Arial" w:hAnsi="Arial" w:cs="Arial"/>
        </w:rPr>
        <w:t xml:space="preserve">di Santa Giusta </w:t>
      </w:r>
      <w:r w:rsidR="008F7D90" w:rsidRPr="008F7D90">
        <w:rPr>
          <w:rFonts w:ascii="Arial" w:hAnsi="Arial" w:cs="Arial"/>
        </w:rPr>
        <w:t>riconosciuto sito di interesse comunitario (SIC ITB030037) e zona di protezione speciale (ZPS ITB034005)</w:t>
      </w:r>
      <w:r w:rsidR="009F3F47">
        <w:rPr>
          <w:rFonts w:ascii="Arial" w:hAnsi="Arial" w:cs="Arial"/>
        </w:rPr>
        <w:t>.</w:t>
      </w:r>
    </w:p>
    <w:p w14:paraId="6430F8A1" w14:textId="46F80869" w:rsidR="003B28F6" w:rsidRDefault="00F51D3B" w:rsidP="003B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2) FAB LAB u</w:t>
      </w:r>
      <w:r w:rsidRPr="00F51D3B">
        <w:rPr>
          <w:rFonts w:ascii="Arial" w:hAnsi="Arial" w:cs="Arial"/>
        </w:rPr>
        <w:t>no spazio in cui Università, Imprese, Liberi</w:t>
      </w:r>
      <w:r>
        <w:rPr>
          <w:rFonts w:ascii="Arial" w:hAnsi="Arial" w:cs="Arial"/>
        </w:rPr>
        <w:t xml:space="preserve"> </w:t>
      </w:r>
      <w:r w:rsidRPr="00F51D3B">
        <w:rPr>
          <w:rFonts w:ascii="Arial" w:hAnsi="Arial" w:cs="Arial"/>
        </w:rPr>
        <w:t xml:space="preserve">Professionisti, </w:t>
      </w:r>
      <w:r>
        <w:rPr>
          <w:rFonts w:ascii="Arial" w:hAnsi="Arial" w:cs="Arial"/>
        </w:rPr>
        <w:t xml:space="preserve">Associazioni e Cittadini </w:t>
      </w:r>
      <w:r w:rsidRPr="00F51D3B">
        <w:rPr>
          <w:rFonts w:ascii="Arial" w:hAnsi="Arial" w:cs="Arial"/>
        </w:rPr>
        <w:t xml:space="preserve">si uniscono per dare vita a vere </w:t>
      </w:r>
      <w:r>
        <w:rPr>
          <w:rFonts w:ascii="Arial" w:hAnsi="Arial" w:cs="Arial"/>
        </w:rPr>
        <w:t xml:space="preserve">e proprie attività di sperimentazione, anche non </w:t>
      </w:r>
      <w:r w:rsidR="008B1B3C">
        <w:rPr>
          <w:rFonts w:ascii="Arial" w:hAnsi="Arial" w:cs="Arial"/>
        </w:rPr>
        <w:t>propriamente</w:t>
      </w:r>
      <w:r>
        <w:rPr>
          <w:rFonts w:ascii="Arial" w:hAnsi="Arial" w:cs="Arial"/>
        </w:rPr>
        <w:t xml:space="preserve"> convenzional</w:t>
      </w:r>
      <w:r w:rsidR="00A753F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8B1B3C">
        <w:rPr>
          <w:rFonts w:ascii="Arial" w:hAnsi="Arial" w:cs="Arial"/>
        </w:rPr>
        <w:t xml:space="preserve">e a nuove </w:t>
      </w:r>
      <w:r w:rsidRPr="00F51D3B">
        <w:rPr>
          <w:rFonts w:ascii="Arial" w:hAnsi="Arial" w:cs="Arial"/>
        </w:rPr>
        <w:t>start-up specializzate ne</w:t>
      </w:r>
      <w:r w:rsidR="003B28F6">
        <w:rPr>
          <w:rFonts w:ascii="Arial" w:hAnsi="Arial" w:cs="Arial"/>
        </w:rPr>
        <w:t>l settore dell’agroalimentare</w:t>
      </w:r>
      <w:r w:rsidR="008F7D90">
        <w:rPr>
          <w:rFonts w:ascii="Arial" w:hAnsi="Arial" w:cs="Arial"/>
        </w:rPr>
        <w:t xml:space="preserve"> e della sostenibilità delle pratiche agronomiche</w:t>
      </w:r>
      <w:r w:rsidR="003B28F6">
        <w:rPr>
          <w:rFonts w:ascii="Arial" w:hAnsi="Arial" w:cs="Arial"/>
        </w:rPr>
        <w:t>.</w:t>
      </w:r>
    </w:p>
    <w:p w14:paraId="186292D4" w14:textId="0B18CAD4" w:rsidR="003B28F6" w:rsidRDefault="008B1B3C" w:rsidP="003B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Detto Living Lab si inserisce in un contesto coordinato a livello regionale in lui l’ILAB FOOD di Oristano </w:t>
      </w:r>
      <w:r w:rsidR="003B28F6">
        <w:rPr>
          <w:rFonts w:ascii="Arial" w:hAnsi="Arial" w:cs="Arial"/>
        </w:rPr>
        <w:t>si propone come</w:t>
      </w:r>
      <w:r>
        <w:rPr>
          <w:rFonts w:ascii="Arial" w:hAnsi="Arial" w:cs="Arial"/>
        </w:rPr>
        <w:t xml:space="preserve"> </w:t>
      </w:r>
      <w:r w:rsidR="002C5E98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nodo regionale per il settore </w:t>
      </w:r>
      <w:r w:rsidR="00A753FD">
        <w:rPr>
          <w:rFonts w:ascii="Arial" w:hAnsi="Arial" w:cs="Arial"/>
        </w:rPr>
        <w:t>dell’agroindustria e dell’</w:t>
      </w:r>
      <w:r>
        <w:rPr>
          <w:rFonts w:ascii="Arial" w:hAnsi="Arial" w:cs="Arial"/>
        </w:rPr>
        <w:t>agroalimentare.</w:t>
      </w:r>
      <w:r w:rsidR="003B28F6">
        <w:rPr>
          <w:rFonts w:ascii="Arial" w:hAnsi="Arial" w:cs="Arial"/>
        </w:rPr>
        <w:t xml:space="preserve"> I Living Lab </w:t>
      </w:r>
      <w:r w:rsidR="003B28F6" w:rsidRPr="003B28F6">
        <w:rPr>
          <w:rFonts w:ascii="Arial" w:hAnsi="Arial" w:cs="Arial"/>
        </w:rPr>
        <w:t>sono</w:t>
      </w:r>
      <w:r w:rsidR="003B28F6">
        <w:rPr>
          <w:rFonts w:ascii="Arial" w:hAnsi="Arial" w:cs="Arial"/>
        </w:rPr>
        <w:t xml:space="preserve"> </w:t>
      </w:r>
      <w:r w:rsidR="003B28F6" w:rsidRPr="003B28F6">
        <w:rPr>
          <w:rFonts w:ascii="Arial" w:hAnsi="Arial" w:cs="Arial"/>
        </w:rPr>
        <w:t>qualificati come “contesti aperti di progettazione, sperimentazione e validazione di nuovi prodotti e</w:t>
      </w:r>
      <w:r w:rsidR="003B28F6">
        <w:rPr>
          <w:rFonts w:ascii="Arial" w:hAnsi="Arial" w:cs="Arial"/>
        </w:rPr>
        <w:t xml:space="preserve"> </w:t>
      </w:r>
      <w:r w:rsidR="003B28F6" w:rsidRPr="003B28F6">
        <w:rPr>
          <w:rFonts w:ascii="Arial" w:hAnsi="Arial" w:cs="Arial"/>
        </w:rPr>
        <w:t>servizi”, in cui tutti i soggetti interessati (utenti, possibili fruitori o erogatori) possono interagire e</w:t>
      </w:r>
      <w:r w:rsidR="003B28F6">
        <w:rPr>
          <w:rFonts w:ascii="Arial" w:hAnsi="Arial" w:cs="Arial"/>
        </w:rPr>
        <w:t xml:space="preserve"> </w:t>
      </w:r>
      <w:r w:rsidR="003B28F6" w:rsidRPr="003B28F6">
        <w:rPr>
          <w:rFonts w:ascii="Arial" w:hAnsi="Arial" w:cs="Arial"/>
        </w:rPr>
        <w:t>sperimentare con tali prodotti e servizi, fornendo riscontri e contributi importanti per la loro messa a</w:t>
      </w:r>
      <w:r w:rsidR="003B28F6">
        <w:rPr>
          <w:rFonts w:ascii="Arial" w:hAnsi="Arial" w:cs="Arial"/>
        </w:rPr>
        <w:t xml:space="preserve"> </w:t>
      </w:r>
      <w:r w:rsidR="003B28F6" w:rsidRPr="003B28F6">
        <w:rPr>
          <w:rFonts w:ascii="Arial" w:hAnsi="Arial" w:cs="Arial"/>
        </w:rPr>
        <w:t>punto e successiva messa in p</w:t>
      </w:r>
      <w:r w:rsidR="003B28F6">
        <w:rPr>
          <w:rFonts w:ascii="Arial" w:hAnsi="Arial" w:cs="Arial"/>
        </w:rPr>
        <w:t>roduzione e commercializzazione.</w:t>
      </w:r>
    </w:p>
    <w:p w14:paraId="465375AF" w14:textId="59AEC890" w:rsidR="003B28F6" w:rsidRPr="003B28F6" w:rsidRDefault="003B28F6" w:rsidP="003B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B28F6">
        <w:rPr>
          <w:rFonts w:ascii="Arial" w:hAnsi="Arial" w:cs="Arial"/>
        </w:rPr>
        <w:t xml:space="preserve">a rete territoriale degli </w:t>
      </w:r>
      <w:proofErr w:type="spellStart"/>
      <w:r w:rsidRPr="003B28F6">
        <w:rPr>
          <w:rFonts w:ascii="Arial" w:hAnsi="Arial" w:cs="Arial"/>
        </w:rPr>
        <w:t>ILab</w:t>
      </w:r>
      <w:proofErr w:type="spellEnd"/>
      <w:r w:rsidRPr="003B28F6">
        <w:rPr>
          <w:rFonts w:ascii="Arial" w:hAnsi="Arial" w:cs="Arial"/>
        </w:rPr>
        <w:t xml:space="preserve">, intesi quali nodi territoriali di open </w:t>
      </w:r>
      <w:proofErr w:type="spellStart"/>
      <w:r w:rsidRPr="003B28F6">
        <w:rPr>
          <w:rFonts w:ascii="Arial" w:hAnsi="Arial" w:cs="Arial"/>
        </w:rPr>
        <w:t>innovation</w:t>
      </w:r>
      <w:proofErr w:type="spellEnd"/>
      <w:r w:rsidRPr="003B28F6">
        <w:rPr>
          <w:rFonts w:ascii="Arial" w:hAnsi="Arial" w:cs="Arial"/>
        </w:rPr>
        <w:t xml:space="preserve"> diffusi nei principali centri</w:t>
      </w:r>
      <w:r>
        <w:rPr>
          <w:rFonts w:ascii="Arial" w:hAnsi="Arial" w:cs="Arial"/>
        </w:rPr>
        <w:t xml:space="preserve"> </w:t>
      </w:r>
      <w:r w:rsidRPr="003B28F6">
        <w:rPr>
          <w:rFonts w:ascii="Arial" w:hAnsi="Arial" w:cs="Arial"/>
        </w:rPr>
        <w:t>dell'Isola, è stata programmata nell'ambito della programmazione territoriale prevista dalla Strategia 5.8</w:t>
      </w:r>
      <w:r>
        <w:rPr>
          <w:rFonts w:ascii="Arial" w:hAnsi="Arial" w:cs="Arial"/>
        </w:rPr>
        <w:t xml:space="preserve"> </w:t>
      </w:r>
      <w:r w:rsidRPr="003B28F6">
        <w:rPr>
          <w:rFonts w:ascii="Arial" w:hAnsi="Arial" w:cs="Arial"/>
        </w:rPr>
        <w:t>del Programma Regionale di Sviluppo e finanziata prevalentemente con risorse dell'azione 1.3.2 del PO</w:t>
      </w:r>
      <w:r w:rsidR="0084696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3B28F6">
        <w:rPr>
          <w:rFonts w:ascii="Arial" w:hAnsi="Arial" w:cs="Arial"/>
        </w:rPr>
        <w:t>FESR Sardegna</w:t>
      </w:r>
      <w:r>
        <w:rPr>
          <w:rFonts w:ascii="Arial" w:hAnsi="Arial" w:cs="Arial"/>
        </w:rPr>
        <w:t xml:space="preserve"> </w:t>
      </w:r>
      <w:r w:rsidRPr="003B28F6">
        <w:rPr>
          <w:rFonts w:ascii="Arial" w:hAnsi="Arial" w:cs="Arial"/>
        </w:rPr>
        <w:t>2014-2020</w:t>
      </w:r>
      <w:r>
        <w:rPr>
          <w:rFonts w:ascii="Arial" w:hAnsi="Arial" w:cs="Arial"/>
        </w:rPr>
        <w:t>.</w:t>
      </w:r>
    </w:p>
    <w:p w14:paraId="6D767EC8" w14:textId="3F41A7AB" w:rsidR="003B28F6" w:rsidRDefault="00D00B6D" w:rsidP="00F5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Per la gestione della struttura l’Amministrazione Comunale si farà promotore</w:t>
      </w:r>
      <w:r w:rsidR="00197B1B">
        <w:rPr>
          <w:rFonts w:ascii="Arial" w:hAnsi="Arial" w:cs="Arial"/>
        </w:rPr>
        <w:t>, attr</w:t>
      </w:r>
      <w:r w:rsidR="008F7D90">
        <w:rPr>
          <w:rFonts w:ascii="Arial" w:hAnsi="Arial" w:cs="Arial"/>
        </w:rPr>
        <w:t>a</w:t>
      </w:r>
      <w:r w:rsidR="00197B1B">
        <w:rPr>
          <w:rFonts w:ascii="Arial" w:hAnsi="Arial" w:cs="Arial"/>
        </w:rPr>
        <w:t>verso un processo partecipativo, del</w:t>
      </w:r>
      <w:r>
        <w:rPr>
          <w:rFonts w:ascii="Arial" w:hAnsi="Arial" w:cs="Arial"/>
        </w:rPr>
        <w:t xml:space="preserve">la costituzione di un organismo di gestione che coinvolga </w:t>
      </w:r>
      <w:r w:rsidR="00197B1B">
        <w:rPr>
          <w:rFonts w:ascii="Arial" w:hAnsi="Arial" w:cs="Arial"/>
        </w:rPr>
        <w:t xml:space="preserve">tutti gli attori locali (Università, Centri di ricerca, Associazioni di categoria dell’imprenditoria, aziende leader del territorio sia in campo agricolo che della ristorazione e del turismo, associazioni dei consumatori </w:t>
      </w:r>
      <w:r w:rsidR="008F7D90">
        <w:rPr>
          <w:rFonts w:ascii="Arial" w:hAnsi="Arial" w:cs="Arial"/>
        </w:rPr>
        <w:t xml:space="preserve">ed ambientaliste </w:t>
      </w:r>
      <w:r w:rsidR="00197B1B">
        <w:rPr>
          <w:rFonts w:ascii="Arial" w:hAnsi="Arial" w:cs="Arial"/>
        </w:rPr>
        <w:t>ed ogni altro soggetto locale interessato alle attività di sviluppo, ricerca e promozione che si intende avviare.</w:t>
      </w:r>
    </w:p>
    <w:p w14:paraId="07E36A42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669844AC" w14:textId="5CCEE899" w:rsidR="00F167A9" w:rsidRPr="007E5D77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Descrizione degli interventi</w:t>
      </w:r>
    </w:p>
    <w:p w14:paraId="7C21501A" w14:textId="4E0EC12D" w:rsidR="00D00B6D" w:rsidRDefault="00055D21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La struttura, relativamente alla parte destinata al LAB FOOD</w:t>
      </w:r>
      <w:r w:rsidR="003B28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è già stata</w:t>
      </w:r>
      <w:r w:rsidRPr="00055D21">
        <w:rPr>
          <w:rFonts w:ascii="Arial" w:hAnsi="Arial" w:cs="Arial"/>
        </w:rPr>
        <w:t xml:space="preserve"> oggetto di un primo intervento, </w:t>
      </w:r>
      <w:r>
        <w:rPr>
          <w:rFonts w:ascii="Arial" w:hAnsi="Arial" w:cs="Arial"/>
        </w:rPr>
        <w:t xml:space="preserve">e </w:t>
      </w:r>
      <w:r w:rsidRPr="00055D21">
        <w:rPr>
          <w:rFonts w:ascii="Arial" w:hAnsi="Arial" w:cs="Arial"/>
        </w:rPr>
        <w:t xml:space="preserve">necessita del completamento con la fornitura di tutti gli arredi e le attrezzature </w:t>
      </w:r>
      <w:r w:rsidR="00A753FD">
        <w:rPr>
          <w:rFonts w:ascii="Arial" w:hAnsi="Arial" w:cs="Arial"/>
        </w:rPr>
        <w:t>occorrenti</w:t>
      </w:r>
      <w:r w:rsidRPr="00055D21">
        <w:rPr>
          <w:rFonts w:ascii="Arial" w:hAnsi="Arial" w:cs="Arial"/>
        </w:rPr>
        <w:t xml:space="preserve"> per</w:t>
      </w:r>
      <w:r w:rsidR="003B28F6">
        <w:rPr>
          <w:rFonts w:ascii="Arial" w:hAnsi="Arial" w:cs="Arial"/>
        </w:rPr>
        <w:t xml:space="preserve"> la completa funzionalizzazione. In particolare è previsto l’allestimento della cucina, della sala dimostrativa show </w:t>
      </w:r>
      <w:proofErr w:type="spellStart"/>
      <w:r w:rsidR="003B28F6">
        <w:rPr>
          <w:rFonts w:ascii="Arial" w:hAnsi="Arial" w:cs="Arial"/>
        </w:rPr>
        <w:t>cooking</w:t>
      </w:r>
      <w:proofErr w:type="spellEnd"/>
      <w:r w:rsidR="003B28F6">
        <w:rPr>
          <w:rFonts w:ascii="Arial" w:hAnsi="Arial" w:cs="Arial"/>
        </w:rPr>
        <w:t xml:space="preserve">, </w:t>
      </w:r>
      <w:r w:rsidR="00D00B6D">
        <w:rPr>
          <w:rFonts w:ascii="Arial" w:hAnsi="Arial" w:cs="Arial"/>
        </w:rPr>
        <w:t xml:space="preserve">della sala da pranzo e degli </w:t>
      </w:r>
      <w:r w:rsidR="00197B1B">
        <w:rPr>
          <w:rFonts w:ascii="Arial" w:hAnsi="Arial" w:cs="Arial"/>
        </w:rPr>
        <w:t xml:space="preserve">altri </w:t>
      </w:r>
      <w:r w:rsidR="00D00B6D">
        <w:rPr>
          <w:rFonts w:ascii="Arial" w:hAnsi="Arial" w:cs="Arial"/>
        </w:rPr>
        <w:t>spazi di accoglienza. Inoltre deve essere allestita la sala polifunzionale ed espositiva che dovrà servire da “vetrina” per la promozione delle eccellenze agroalimentari del territorio.</w:t>
      </w:r>
    </w:p>
    <w:p w14:paraId="43B1F431" w14:textId="54CA2C14" w:rsidR="009E2BF7" w:rsidRDefault="00055D21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55D21">
        <w:rPr>
          <w:rFonts w:ascii="Arial" w:hAnsi="Arial" w:cs="Arial"/>
        </w:rPr>
        <w:lastRenderedPageBreak/>
        <w:t>Per l’insediamento del</w:t>
      </w:r>
      <w:r w:rsidR="00197B1B">
        <w:rPr>
          <w:rFonts w:ascii="Arial" w:hAnsi="Arial" w:cs="Arial"/>
        </w:rPr>
        <w:t xml:space="preserve"> FAB LAB </w:t>
      </w:r>
      <w:r w:rsidRPr="00055D21">
        <w:rPr>
          <w:rFonts w:ascii="Arial" w:hAnsi="Arial" w:cs="Arial"/>
        </w:rPr>
        <w:t xml:space="preserve">si rende necessario il completamento del recupero dell’intera struttura, con la realizzazione dei laboratori e degli ambienti di </w:t>
      </w:r>
      <w:proofErr w:type="spellStart"/>
      <w:r w:rsidRPr="00055D21">
        <w:rPr>
          <w:rFonts w:ascii="Arial" w:hAnsi="Arial" w:cs="Arial"/>
        </w:rPr>
        <w:t>coworking</w:t>
      </w:r>
      <w:proofErr w:type="spellEnd"/>
      <w:r w:rsidRPr="00055D21">
        <w:rPr>
          <w:rFonts w:ascii="Arial" w:hAnsi="Arial" w:cs="Arial"/>
        </w:rPr>
        <w:t>, la sistemazione dell’aerea esterna con la realizzazione di una grande piazza da destinare a specifici eventi ed altre attività di richiamo. Sarà inoltre necessaria la fornitura di attrezzature di laboratorio, arredi ed allestimenti per la completa funzionalizzazione della struttura</w:t>
      </w:r>
      <w:r w:rsidR="00197B1B">
        <w:rPr>
          <w:rFonts w:ascii="Arial" w:hAnsi="Arial" w:cs="Arial"/>
        </w:rPr>
        <w:t xml:space="preserve"> nell’ottica di poter sviluppare le attività di ricerca</w:t>
      </w:r>
      <w:r w:rsidR="008F7D90">
        <w:rPr>
          <w:rFonts w:ascii="Arial" w:hAnsi="Arial" w:cs="Arial"/>
        </w:rPr>
        <w:t xml:space="preserve"> e sviluppo</w:t>
      </w:r>
      <w:r w:rsidR="00197B1B">
        <w:rPr>
          <w:rFonts w:ascii="Arial" w:hAnsi="Arial" w:cs="Arial"/>
        </w:rPr>
        <w:t>, promozione e trasferimento delle competenze.</w:t>
      </w:r>
    </w:p>
    <w:p w14:paraId="3A702A76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4A681718" w14:textId="2A77432E" w:rsidR="00F167A9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E69E5" w:rsidRPr="007E5D77">
        <w:rPr>
          <w:rFonts w:ascii="Arial" w:hAnsi="Arial" w:cs="Arial"/>
          <w:b/>
          <w:bCs/>
          <w:sz w:val="28"/>
          <w:szCs w:val="28"/>
        </w:rPr>
        <w:t xml:space="preserve">omplementarità </w:t>
      </w:r>
      <w:r>
        <w:rPr>
          <w:rFonts w:ascii="Arial" w:hAnsi="Arial" w:cs="Arial"/>
          <w:b/>
          <w:bCs/>
          <w:sz w:val="28"/>
          <w:szCs w:val="28"/>
        </w:rPr>
        <w:t xml:space="preserve">e coerenza </w:t>
      </w:r>
      <w:r w:rsidR="007E69E5" w:rsidRPr="007E5D77">
        <w:rPr>
          <w:rFonts w:ascii="Arial" w:hAnsi="Arial" w:cs="Arial"/>
          <w:b/>
          <w:bCs/>
          <w:sz w:val="28"/>
          <w:szCs w:val="28"/>
        </w:rPr>
        <w:t>con altri Programmi/Progetti</w:t>
      </w:r>
    </w:p>
    <w:p w14:paraId="5949C479" w14:textId="35278DE9" w:rsidR="00F212E8" w:rsidRPr="007E5D77" w:rsidRDefault="00B36F48" w:rsidP="00F212E8">
      <w:pPr>
        <w:pStyle w:val="Contenutocornice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Descrivere la complementarietà dell’intervento con altri strumenti di livello comunitario, nazionale, regionale o locale, e con progetti singoli o complessi (Comunali o d’area vasta). Comprendere la descrizione della  coerenza con gli strumenti della programmazione 2021-2027, (Politica di Coesione), con gli obiettivi dell’Agenda 2030,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….</w:t>
      </w:r>
    </w:p>
    <w:p w14:paraId="7C6B45C0" w14:textId="096146C2" w:rsidR="00CD7B24" w:rsidRDefault="009F3F47" w:rsidP="00CD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L’intervento ri</w:t>
      </w:r>
      <w:r w:rsidR="00CD7B24">
        <w:rPr>
          <w:rFonts w:ascii="Arial" w:hAnsi="Arial" w:cs="Arial"/>
        </w:rPr>
        <w:t xml:space="preserve">cade all’interno delle </w:t>
      </w:r>
      <w:r w:rsidR="00CD7B24" w:rsidRPr="00CD7B24">
        <w:rPr>
          <w:rFonts w:ascii="Arial" w:hAnsi="Arial" w:cs="Arial"/>
        </w:rPr>
        <w:t>Aree di rilevanza</w:t>
      </w:r>
      <w:r w:rsidR="00CD7B24">
        <w:rPr>
          <w:rFonts w:ascii="Arial" w:hAnsi="Arial" w:cs="Arial"/>
        </w:rPr>
        <w:t xml:space="preserve"> strategica” (</w:t>
      </w:r>
      <w:proofErr w:type="spellStart"/>
      <w:r w:rsidR="00CD7B24">
        <w:rPr>
          <w:rFonts w:ascii="Arial" w:hAnsi="Arial" w:cs="Arial"/>
        </w:rPr>
        <w:t>AdRS</w:t>
      </w:r>
      <w:proofErr w:type="spellEnd"/>
      <w:r w:rsidR="00CD7B24">
        <w:rPr>
          <w:rFonts w:ascii="Arial" w:hAnsi="Arial" w:cs="Arial"/>
        </w:rPr>
        <w:t xml:space="preserve">), definite come </w:t>
      </w:r>
      <w:r w:rsidR="00CD7B24" w:rsidRPr="00CD7B24">
        <w:rPr>
          <w:rFonts w:ascii="Arial" w:hAnsi="Arial" w:cs="Arial"/>
        </w:rPr>
        <w:t>poli di attrazione ambientale, culturale e turistica nei quali agire prioritariamente</w:t>
      </w:r>
      <w:r w:rsidR="00CD7B24">
        <w:rPr>
          <w:rFonts w:ascii="Arial" w:hAnsi="Arial" w:cs="Arial"/>
        </w:rPr>
        <w:t xml:space="preserve"> </w:t>
      </w:r>
      <w:r w:rsidR="00CD7B24" w:rsidRPr="00CD7B24">
        <w:rPr>
          <w:rFonts w:ascii="Arial" w:hAnsi="Arial" w:cs="Arial"/>
        </w:rPr>
        <w:t>con interventi di valorizzazione finalizzati al miglioramento della competitivit</w:t>
      </w:r>
      <w:r w:rsidR="00CD7B24">
        <w:rPr>
          <w:rFonts w:ascii="Arial" w:hAnsi="Arial" w:cs="Arial"/>
        </w:rPr>
        <w:t xml:space="preserve">à e dell'attrattività turistica, individuate dalla </w:t>
      </w:r>
      <w:r w:rsidR="00A753FD">
        <w:rPr>
          <w:rFonts w:ascii="Arial" w:hAnsi="Arial" w:cs="Arial"/>
        </w:rPr>
        <w:t>R</w:t>
      </w:r>
      <w:r w:rsidR="00CD7B24">
        <w:rPr>
          <w:rFonts w:ascii="Arial" w:hAnsi="Arial" w:cs="Arial"/>
        </w:rPr>
        <w:t xml:space="preserve">egione Sardegna con </w:t>
      </w:r>
      <w:r w:rsidR="00CD7B24" w:rsidRPr="00CD7B24">
        <w:rPr>
          <w:rFonts w:ascii="Arial" w:hAnsi="Arial" w:cs="Arial"/>
        </w:rPr>
        <w:t>la Delibera G.R. n. 41/23 del 12 luglio 2016 "Programmazione Territoriale - Aree di rilevanza</w:t>
      </w:r>
      <w:r w:rsidR="00CD7B24">
        <w:rPr>
          <w:rFonts w:ascii="Arial" w:hAnsi="Arial" w:cs="Arial"/>
        </w:rPr>
        <w:t xml:space="preserve"> </w:t>
      </w:r>
      <w:r w:rsidR="00CD7B24" w:rsidRPr="00CD7B24">
        <w:rPr>
          <w:rFonts w:ascii="Arial" w:hAnsi="Arial" w:cs="Arial"/>
        </w:rPr>
        <w:t>strategica del POR FESR 2014-2020. Indirizzi operativi"</w:t>
      </w:r>
      <w:r w:rsidR="00CD7B24">
        <w:rPr>
          <w:rFonts w:ascii="Arial" w:hAnsi="Arial" w:cs="Arial"/>
        </w:rPr>
        <w:t xml:space="preserve">, e risulta inserito nel </w:t>
      </w:r>
      <w:r w:rsidR="00CD7B24" w:rsidRPr="00CD7B24">
        <w:rPr>
          <w:rFonts w:ascii="Arial" w:hAnsi="Arial" w:cs="Arial"/>
        </w:rPr>
        <w:t>Progetto di Sviluppo PT-CRP-27/INT “V</w:t>
      </w:r>
      <w:r w:rsidR="00CD7B24">
        <w:rPr>
          <w:rFonts w:ascii="Arial" w:hAnsi="Arial" w:cs="Arial"/>
        </w:rPr>
        <w:t xml:space="preserve">iaggio nella Terra dei Giganti” gestito dal </w:t>
      </w:r>
      <w:r w:rsidR="00CD7B24" w:rsidRPr="00CD7B24">
        <w:rPr>
          <w:rFonts w:ascii="Arial" w:hAnsi="Arial" w:cs="Arial"/>
        </w:rPr>
        <w:t>partenariato territoriale</w:t>
      </w:r>
      <w:r w:rsidR="00CD7B24">
        <w:rPr>
          <w:rFonts w:ascii="Arial" w:hAnsi="Arial" w:cs="Arial"/>
        </w:rPr>
        <w:t xml:space="preserve"> costituito </w:t>
      </w:r>
      <w:r w:rsidR="00CD7B24" w:rsidRPr="00CD7B24">
        <w:rPr>
          <w:rFonts w:ascii="Arial" w:hAnsi="Arial" w:cs="Arial"/>
        </w:rPr>
        <w:t xml:space="preserve">dall’Unione di Comuni Costa del </w:t>
      </w:r>
      <w:proofErr w:type="spellStart"/>
      <w:r w:rsidR="00CD7B24" w:rsidRPr="00CD7B24">
        <w:rPr>
          <w:rFonts w:ascii="Arial" w:hAnsi="Arial" w:cs="Arial"/>
        </w:rPr>
        <w:t>Sinis</w:t>
      </w:r>
      <w:proofErr w:type="spellEnd"/>
      <w:r w:rsidR="00CD7B24" w:rsidRPr="00CD7B24">
        <w:rPr>
          <w:rFonts w:ascii="Arial" w:hAnsi="Arial" w:cs="Arial"/>
        </w:rPr>
        <w:t xml:space="preserve"> - Terra dei</w:t>
      </w:r>
      <w:r w:rsidR="00CD7B24">
        <w:rPr>
          <w:rFonts w:ascii="Arial" w:hAnsi="Arial" w:cs="Arial"/>
        </w:rPr>
        <w:t xml:space="preserve"> </w:t>
      </w:r>
      <w:r w:rsidR="00CD7B24" w:rsidRPr="00CD7B24">
        <w:rPr>
          <w:rFonts w:ascii="Arial" w:hAnsi="Arial" w:cs="Arial"/>
        </w:rPr>
        <w:t>Giganti in associazione con il Comune di Oristano</w:t>
      </w:r>
      <w:r w:rsidR="00CD7B24">
        <w:rPr>
          <w:rFonts w:ascii="Arial" w:hAnsi="Arial" w:cs="Arial"/>
        </w:rPr>
        <w:t>.</w:t>
      </w:r>
    </w:p>
    <w:p w14:paraId="1A036019" w14:textId="0D8C51A8" w:rsidR="009F3F47" w:rsidRPr="009F3F47" w:rsidRDefault="00DB7300" w:rsidP="009F3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Detto </w:t>
      </w:r>
      <w:r w:rsidR="009F3F47" w:rsidRPr="009F3F47">
        <w:rPr>
          <w:rFonts w:ascii="Arial" w:hAnsi="Arial" w:cs="Arial"/>
        </w:rPr>
        <w:t>progetto si incentra su un percorso di sviluppo</w:t>
      </w:r>
      <w:r>
        <w:rPr>
          <w:rFonts w:ascii="Arial" w:hAnsi="Arial" w:cs="Arial"/>
        </w:rPr>
        <w:t xml:space="preserve"> </w:t>
      </w:r>
      <w:r w:rsidR="009F3F47" w:rsidRPr="009F3F47">
        <w:rPr>
          <w:rFonts w:ascii="Arial" w:hAnsi="Arial" w:cs="Arial"/>
        </w:rPr>
        <w:t>basato sul turismo sostenibile, declinando la crescita del sistema di accoglienza turistica, attraverso</w:t>
      </w:r>
      <w:r>
        <w:rPr>
          <w:rFonts w:ascii="Arial" w:hAnsi="Arial" w:cs="Arial"/>
        </w:rPr>
        <w:t xml:space="preserve"> </w:t>
      </w:r>
      <w:r w:rsidR="009F3F47" w:rsidRPr="009F3F47">
        <w:rPr>
          <w:rFonts w:ascii="Arial" w:hAnsi="Arial" w:cs="Arial"/>
        </w:rPr>
        <w:t>interventi di valorizzazione e promozione del patrimonio culturale e sviluppando processi di</w:t>
      </w:r>
      <w:r>
        <w:rPr>
          <w:rFonts w:ascii="Arial" w:hAnsi="Arial" w:cs="Arial"/>
        </w:rPr>
        <w:t xml:space="preserve"> </w:t>
      </w:r>
      <w:r w:rsidR="009F3F47" w:rsidRPr="009F3F47">
        <w:rPr>
          <w:rFonts w:ascii="Arial" w:hAnsi="Arial" w:cs="Arial"/>
        </w:rPr>
        <w:t>diversificazione dell'offerta attraverso l'integrazione con le risorse ambientali e naturalistiche e le</w:t>
      </w:r>
      <w:r>
        <w:rPr>
          <w:rFonts w:ascii="Arial" w:hAnsi="Arial" w:cs="Arial"/>
        </w:rPr>
        <w:t xml:space="preserve"> </w:t>
      </w:r>
      <w:r w:rsidR="009F3F47" w:rsidRPr="009F3F47">
        <w:rPr>
          <w:rFonts w:ascii="Arial" w:hAnsi="Arial" w:cs="Arial"/>
        </w:rPr>
        <w:t>produzioni agroalimentari, fondati sulla partecipazione delle comunità e degli operatori economici, con</w:t>
      </w:r>
      <w:r>
        <w:rPr>
          <w:rFonts w:ascii="Arial" w:hAnsi="Arial" w:cs="Arial"/>
        </w:rPr>
        <w:t xml:space="preserve"> </w:t>
      </w:r>
      <w:r w:rsidR="009F3F47" w:rsidRPr="009F3F47">
        <w:rPr>
          <w:rFonts w:ascii="Arial" w:hAnsi="Arial" w:cs="Arial"/>
        </w:rPr>
        <w:t>obiettivi di consolidamento dell'identità comunitaria e del posizionamento del valore competitivo della</w:t>
      </w:r>
      <w:r>
        <w:rPr>
          <w:rFonts w:ascii="Arial" w:hAnsi="Arial" w:cs="Arial"/>
        </w:rPr>
        <w:t xml:space="preserve"> </w:t>
      </w:r>
      <w:r w:rsidR="009F3F47" w:rsidRPr="009F3F47">
        <w:rPr>
          <w:rFonts w:ascii="Arial" w:hAnsi="Arial" w:cs="Arial"/>
        </w:rPr>
        <w:t>propria offerta culturale, potenziando le imprese e la qualità del</w:t>
      </w:r>
      <w:r>
        <w:rPr>
          <w:rFonts w:ascii="Arial" w:hAnsi="Arial" w:cs="Arial"/>
        </w:rPr>
        <w:t>la vita dei cittadini residenti.</w:t>
      </w:r>
    </w:p>
    <w:p w14:paraId="08BE537B" w14:textId="77777777" w:rsidR="00DB7300" w:rsidRDefault="00DB7300" w:rsidP="009F3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L’intervento è coerente con </w:t>
      </w:r>
      <w:r w:rsidR="009F3F47" w:rsidRPr="009F3F47">
        <w:rPr>
          <w:rFonts w:ascii="Arial" w:hAnsi="Arial" w:cs="Arial"/>
        </w:rPr>
        <w:t>la Strategia regionale di</w:t>
      </w:r>
      <w:r>
        <w:rPr>
          <w:rFonts w:ascii="Arial" w:hAnsi="Arial" w:cs="Arial"/>
        </w:rPr>
        <w:t xml:space="preserve"> </w:t>
      </w:r>
      <w:r w:rsidR="009F3F47" w:rsidRPr="009F3F47">
        <w:rPr>
          <w:rFonts w:ascii="Arial" w:hAnsi="Arial" w:cs="Arial"/>
        </w:rPr>
        <w:t xml:space="preserve">Specializzazione Intelligente (Smart </w:t>
      </w:r>
      <w:proofErr w:type="spellStart"/>
      <w:r w:rsidR="009F3F47" w:rsidRPr="009F3F47">
        <w:rPr>
          <w:rFonts w:ascii="Arial" w:hAnsi="Arial" w:cs="Arial"/>
        </w:rPr>
        <w:t>Specialisation</w:t>
      </w:r>
      <w:proofErr w:type="spellEnd"/>
      <w:r w:rsidR="009F3F47" w:rsidRPr="009F3F47">
        <w:rPr>
          <w:rFonts w:ascii="Arial" w:hAnsi="Arial" w:cs="Arial"/>
        </w:rPr>
        <w:t xml:space="preserve"> </w:t>
      </w:r>
      <w:proofErr w:type="spellStart"/>
      <w:r w:rsidR="009F3F47" w:rsidRPr="009F3F47">
        <w:rPr>
          <w:rFonts w:ascii="Arial" w:hAnsi="Arial" w:cs="Arial"/>
        </w:rPr>
        <w:t>Strategy</w:t>
      </w:r>
      <w:proofErr w:type="spellEnd"/>
      <w:r w:rsidR="009F3F47" w:rsidRPr="009F3F47">
        <w:rPr>
          <w:rFonts w:ascii="Arial" w:hAnsi="Arial" w:cs="Arial"/>
        </w:rPr>
        <w:t xml:space="preserve"> - S3) in tema di valorizzazione ambientale</w:t>
      </w:r>
      <w:r>
        <w:rPr>
          <w:rFonts w:ascii="Arial" w:hAnsi="Arial" w:cs="Arial"/>
        </w:rPr>
        <w:t xml:space="preserve"> e culturale.</w:t>
      </w:r>
    </w:p>
    <w:p w14:paraId="7C19CB74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03D6C2D4" w14:textId="5A516AFF"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Fabbisogno finanziario </w:t>
      </w:r>
    </w:p>
    <w:p w14:paraId="615D2F8D" w14:textId="14D6F96A" w:rsidR="00F167A9" w:rsidRDefault="009E2BF7">
      <w:pPr>
        <w:rPr>
          <w:rFonts w:ascii="Arial" w:hAnsi="Arial" w:cs="Arial"/>
          <w:sz w:val="20"/>
          <w:szCs w:val="20"/>
        </w:rPr>
      </w:pPr>
      <w:r w:rsidRPr="009E2BF7">
        <w:rPr>
          <w:rFonts w:ascii="Arial" w:hAnsi="Arial" w:cs="Arial"/>
          <w:sz w:val="20"/>
          <w:szCs w:val="20"/>
        </w:rPr>
        <w:t>Indicare l’importo in euro, eventualmente suddiviso per lotti funzionali (indicando stralcio 1, 2 …n, e il relativo titolo di ciascuno stralcio)</w:t>
      </w:r>
    </w:p>
    <w:p w14:paraId="2ABF362D" w14:textId="04FBB14D" w:rsidR="009E2BF7" w:rsidRPr="004E6A57" w:rsidRDefault="00055D21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E6A57">
        <w:rPr>
          <w:rFonts w:ascii="Arial" w:hAnsi="Arial" w:cs="Arial"/>
        </w:rPr>
        <w:t xml:space="preserve">La realizzazione dell’intervento richiede un fabbisogno finanziario di € </w:t>
      </w:r>
      <w:r w:rsidR="008F7D90">
        <w:rPr>
          <w:rFonts w:ascii="Arial" w:hAnsi="Arial" w:cs="Arial"/>
        </w:rPr>
        <w:t>3</w:t>
      </w:r>
      <w:r w:rsidR="004E6A57" w:rsidRPr="004E6A57">
        <w:rPr>
          <w:rFonts w:ascii="Arial" w:hAnsi="Arial" w:cs="Arial"/>
        </w:rPr>
        <w:t>.000.000</w:t>
      </w:r>
      <w:r w:rsidRPr="004E6A57">
        <w:rPr>
          <w:rFonts w:ascii="Arial" w:hAnsi="Arial" w:cs="Arial"/>
        </w:rPr>
        <w:t xml:space="preserve"> di cui </w:t>
      </w:r>
      <w:r w:rsidR="004E6A57" w:rsidRPr="004E6A57">
        <w:rPr>
          <w:rFonts w:ascii="Arial" w:hAnsi="Arial" w:cs="Arial"/>
        </w:rPr>
        <w:t xml:space="preserve">€ </w:t>
      </w:r>
      <w:r w:rsidR="008F7D90">
        <w:rPr>
          <w:rFonts w:ascii="Arial" w:hAnsi="Arial" w:cs="Arial"/>
        </w:rPr>
        <w:t>2</w:t>
      </w:r>
      <w:r w:rsidR="004E6A57" w:rsidRPr="004E6A57">
        <w:rPr>
          <w:rFonts w:ascii="Arial" w:hAnsi="Arial" w:cs="Arial"/>
        </w:rPr>
        <w:t>.200.000</w:t>
      </w:r>
      <w:r w:rsidRPr="004E6A57">
        <w:rPr>
          <w:rFonts w:ascii="Arial" w:hAnsi="Arial" w:cs="Arial"/>
        </w:rPr>
        <w:t xml:space="preserve"> per opere edili ed impiantistiche ed € </w:t>
      </w:r>
      <w:r w:rsidR="004E6A57" w:rsidRPr="004E6A57">
        <w:rPr>
          <w:rFonts w:ascii="Arial" w:hAnsi="Arial" w:cs="Arial"/>
        </w:rPr>
        <w:t>800.000,00</w:t>
      </w:r>
      <w:r w:rsidRPr="004E6A57">
        <w:rPr>
          <w:rFonts w:ascii="Arial" w:hAnsi="Arial" w:cs="Arial"/>
        </w:rPr>
        <w:t xml:space="preserve"> per la fornitura di attrezzature ed arredi.</w:t>
      </w:r>
    </w:p>
    <w:p w14:paraId="049F1223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39C1CC04" w14:textId="77777777" w:rsidR="00B36F48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Livello di definizione del progetto </w:t>
      </w:r>
    </w:p>
    <w:p w14:paraId="38714647" w14:textId="411F4072" w:rsidR="009E2BF7" w:rsidRDefault="00B36F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lo stato di definizione del progetto, scheda preliminare, studio di fattibilità e i successivi livelli di esecutività.</w:t>
      </w:r>
    </w:p>
    <w:p w14:paraId="1B51D615" w14:textId="313FD98C" w:rsidR="009E2BF7" w:rsidRPr="004E6A57" w:rsidRDefault="004E6A57" w:rsidP="000E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E6A57">
        <w:rPr>
          <w:rFonts w:ascii="Arial" w:hAnsi="Arial" w:cs="Arial"/>
        </w:rPr>
        <w:lastRenderedPageBreak/>
        <w:t xml:space="preserve">Studio di fattibilità tecnico-economica approvato con Deliberazione della Giunta Comunale </w:t>
      </w:r>
      <w:r w:rsidR="000E5143" w:rsidRPr="004E6A57">
        <w:rPr>
          <w:rFonts w:ascii="Arial" w:hAnsi="Arial" w:cs="Arial"/>
        </w:rPr>
        <w:t xml:space="preserve">N. 126 </w:t>
      </w:r>
      <w:r w:rsidRPr="004E6A57">
        <w:rPr>
          <w:rFonts w:ascii="Arial" w:hAnsi="Arial" w:cs="Arial"/>
        </w:rPr>
        <w:t>del 13/06/2017, recante in oggetto “</w:t>
      </w:r>
      <w:r w:rsidR="000E5143" w:rsidRPr="004E6A57">
        <w:rPr>
          <w:rFonts w:ascii="Arial" w:hAnsi="Arial" w:cs="Arial"/>
        </w:rPr>
        <w:t>Programma per la riqualificazione urbana e la sicurezza ORISTANO EST - RECUPERO E</w:t>
      </w:r>
      <w:r w:rsidRPr="004E6A57">
        <w:rPr>
          <w:rFonts w:ascii="Arial" w:hAnsi="Arial" w:cs="Arial"/>
        </w:rPr>
        <w:t xml:space="preserve"> </w:t>
      </w:r>
      <w:r w:rsidR="000E5143" w:rsidRPr="004E6A57">
        <w:rPr>
          <w:rFonts w:ascii="Arial" w:hAnsi="Arial" w:cs="Arial"/>
        </w:rPr>
        <w:t>RICONVERSIONE FUNZIONALE DELL'EX-MATTATOIO. Approvazione progetto di fattibilità</w:t>
      </w:r>
      <w:r w:rsidRPr="004E6A57">
        <w:rPr>
          <w:rFonts w:ascii="Arial" w:hAnsi="Arial" w:cs="Arial"/>
        </w:rPr>
        <w:t xml:space="preserve"> </w:t>
      </w:r>
      <w:r w:rsidR="000E5143" w:rsidRPr="004E6A57">
        <w:rPr>
          <w:rFonts w:ascii="Arial" w:hAnsi="Arial" w:cs="Arial"/>
        </w:rPr>
        <w:t>tecnico-economica progetto generale e primo stralcio Funzionale</w:t>
      </w:r>
      <w:r>
        <w:rPr>
          <w:rFonts w:ascii="Arial" w:hAnsi="Arial" w:cs="Arial"/>
        </w:rPr>
        <w:t>”</w:t>
      </w:r>
      <w:r w:rsidR="000E5143" w:rsidRPr="004E6A57">
        <w:rPr>
          <w:rFonts w:ascii="Arial" w:hAnsi="Arial" w:cs="Arial"/>
        </w:rPr>
        <w:t>.</w:t>
      </w:r>
    </w:p>
    <w:p w14:paraId="72922273" w14:textId="26791EEF" w:rsidR="004E6A57" w:rsidRPr="004E6A57" w:rsidRDefault="004E6A57" w:rsidP="000E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E6A57">
        <w:rPr>
          <w:rFonts w:ascii="Arial" w:hAnsi="Arial" w:cs="Arial"/>
        </w:rPr>
        <w:t>Primo stralcio funzionale già realizzato</w:t>
      </w:r>
    </w:p>
    <w:p w14:paraId="658778E4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4EF60F1C" w14:textId="5ABC7C09"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Tempi di attivazione </w:t>
      </w:r>
    </w:p>
    <w:p w14:paraId="12AF2C8E" w14:textId="05417C70" w:rsidR="004E5009" w:rsidRDefault="00B36F48" w:rsidP="00F212E8">
      <w:pPr>
        <w:pStyle w:val="Contenutocorni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la tempistica in mesi</w:t>
      </w:r>
    </w:p>
    <w:p w14:paraId="66F820CA" w14:textId="6FC260F7" w:rsidR="009E2BF7" w:rsidRDefault="00DB7300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Approvazione della p</w:t>
      </w:r>
      <w:r w:rsidR="004E6A57">
        <w:rPr>
          <w:rFonts w:ascii="Arial" w:hAnsi="Arial" w:cs="Arial"/>
          <w:sz w:val="20"/>
          <w:szCs w:val="20"/>
        </w:rPr>
        <w:t>rogettazione esecutiva</w:t>
      </w:r>
      <w:r>
        <w:rPr>
          <w:rFonts w:ascii="Arial" w:hAnsi="Arial" w:cs="Arial"/>
          <w:sz w:val="20"/>
          <w:szCs w:val="20"/>
        </w:rPr>
        <w:t xml:space="preserve"> entro</w:t>
      </w:r>
      <w:r w:rsidR="004E6A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</w:t>
      </w:r>
      <w:r w:rsidR="004E6A57" w:rsidRPr="004E6A57">
        <w:rPr>
          <w:rFonts w:ascii="Arial" w:hAnsi="Arial" w:cs="Arial"/>
          <w:b/>
          <w:sz w:val="20"/>
          <w:szCs w:val="20"/>
        </w:rPr>
        <w:t xml:space="preserve"> mesi</w:t>
      </w:r>
      <w:r w:rsidR="004E6A57">
        <w:rPr>
          <w:rFonts w:ascii="Arial" w:hAnsi="Arial" w:cs="Arial"/>
          <w:sz w:val="20"/>
          <w:szCs w:val="20"/>
        </w:rPr>
        <w:t xml:space="preserve"> dalla concessione del finanziamento</w:t>
      </w:r>
    </w:p>
    <w:p w14:paraId="580EDB3E" w14:textId="41061700" w:rsidR="009E2BF7" w:rsidRDefault="004E6A57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Affidamento </w:t>
      </w:r>
      <w:r w:rsidR="00DB7300">
        <w:rPr>
          <w:rFonts w:ascii="Arial" w:hAnsi="Arial" w:cs="Arial"/>
          <w:sz w:val="20"/>
          <w:szCs w:val="20"/>
        </w:rPr>
        <w:t xml:space="preserve">dei </w:t>
      </w:r>
      <w:r>
        <w:rPr>
          <w:rFonts w:ascii="Arial" w:hAnsi="Arial" w:cs="Arial"/>
          <w:sz w:val="20"/>
          <w:szCs w:val="20"/>
        </w:rPr>
        <w:t xml:space="preserve">lavori e </w:t>
      </w:r>
      <w:r w:rsidR="00DB7300">
        <w:rPr>
          <w:rFonts w:ascii="Arial" w:hAnsi="Arial" w:cs="Arial"/>
          <w:sz w:val="20"/>
          <w:szCs w:val="20"/>
        </w:rPr>
        <w:t xml:space="preserve">delle </w:t>
      </w:r>
      <w:r>
        <w:rPr>
          <w:rFonts w:ascii="Arial" w:hAnsi="Arial" w:cs="Arial"/>
          <w:sz w:val="20"/>
          <w:szCs w:val="20"/>
        </w:rPr>
        <w:t xml:space="preserve">forniture </w:t>
      </w:r>
      <w:r w:rsidR="00DB7300">
        <w:rPr>
          <w:rFonts w:ascii="Arial" w:hAnsi="Arial" w:cs="Arial"/>
          <w:sz w:val="20"/>
          <w:szCs w:val="20"/>
        </w:rPr>
        <w:t xml:space="preserve">entro </w:t>
      </w:r>
      <w:r w:rsidRPr="004E6A57">
        <w:rPr>
          <w:rFonts w:ascii="Arial" w:hAnsi="Arial" w:cs="Arial"/>
          <w:b/>
          <w:sz w:val="20"/>
          <w:szCs w:val="20"/>
        </w:rPr>
        <w:t>3 mesi</w:t>
      </w:r>
      <w:r>
        <w:rPr>
          <w:rFonts w:ascii="Arial" w:hAnsi="Arial" w:cs="Arial"/>
          <w:sz w:val="20"/>
          <w:szCs w:val="20"/>
        </w:rPr>
        <w:t xml:space="preserve"> dall’approvazione del progetto esecutivo</w:t>
      </w:r>
    </w:p>
    <w:p w14:paraId="03D0653E" w14:textId="0DCCA5F7" w:rsidR="004E6A57" w:rsidRDefault="004E6A57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Fine </w:t>
      </w:r>
      <w:r w:rsidR="00DB7300">
        <w:rPr>
          <w:rFonts w:ascii="Arial" w:hAnsi="Arial" w:cs="Arial"/>
          <w:sz w:val="20"/>
          <w:szCs w:val="20"/>
        </w:rPr>
        <w:t xml:space="preserve">dei </w:t>
      </w:r>
      <w:r>
        <w:rPr>
          <w:rFonts w:ascii="Arial" w:hAnsi="Arial" w:cs="Arial"/>
          <w:sz w:val="20"/>
          <w:szCs w:val="20"/>
        </w:rPr>
        <w:t xml:space="preserve">lavori e </w:t>
      </w:r>
      <w:r w:rsidR="00DB7300">
        <w:rPr>
          <w:rFonts w:ascii="Arial" w:hAnsi="Arial" w:cs="Arial"/>
          <w:sz w:val="20"/>
          <w:szCs w:val="20"/>
        </w:rPr>
        <w:t xml:space="preserve">delle </w:t>
      </w:r>
      <w:r>
        <w:rPr>
          <w:rFonts w:ascii="Arial" w:hAnsi="Arial" w:cs="Arial"/>
          <w:sz w:val="20"/>
          <w:szCs w:val="20"/>
        </w:rPr>
        <w:t xml:space="preserve">forniture </w:t>
      </w:r>
      <w:r w:rsidR="00DB7300">
        <w:rPr>
          <w:rFonts w:ascii="Arial" w:hAnsi="Arial" w:cs="Arial"/>
          <w:sz w:val="20"/>
          <w:szCs w:val="20"/>
        </w:rPr>
        <w:t xml:space="preserve">entro </w:t>
      </w:r>
      <w:r w:rsidRPr="004E6A57">
        <w:rPr>
          <w:rFonts w:ascii="Arial" w:hAnsi="Arial" w:cs="Arial"/>
          <w:b/>
          <w:sz w:val="20"/>
          <w:szCs w:val="20"/>
        </w:rPr>
        <w:t>1</w:t>
      </w:r>
      <w:r w:rsidR="002D4789">
        <w:rPr>
          <w:rFonts w:ascii="Arial" w:hAnsi="Arial" w:cs="Arial"/>
          <w:b/>
          <w:sz w:val="20"/>
          <w:szCs w:val="20"/>
        </w:rPr>
        <w:t>8</w:t>
      </w:r>
      <w:r w:rsidRPr="004E6A57">
        <w:rPr>
          <w:rFonts w:ascii="Arial" w:hAnsi="Arial" w:cs="Arial"/>
          <w:b/>
          <w:sz w:val="20"/>
          <w:szCs w:val="20"/>
        </w:rPr>
        <w:t xml:space="preserve"> mesi</w:t>
      </w:r>
      <w:r>
        <w:rPr>
          <w:rFonts w:ascii="Arial" w:hAnsi="Arial" w:cs="Arial"/>
          <w:sz w:val="20"/>
          <w:szCs w:val="20"/>
        </w:rPr>
        <w:t xml:space="preserve"> da consegna dei lavori</w:t>
      </w:r>
    </w:p>
    <w:sectPr w:rsidR="004E6A57" w:rsidSect="009E2BF7">
      <w:headerReference w:type="default" r:id="rId8"/>
      <w:footerReference w:type="default" r:id="rId9"/>
      <w:pgSz w:w="11906" w:h="16838"/>
      <w:pgMar w:top="1417" w:right="1134" w:bottom="1134" w:left="1134" w:header="0" w:footer="41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049C" w14:textId="77777777" w:rsidR="00497187" w:rsidRDefault="00497187" w:rsidP="009E2BF7">
      <w:pPr>
        <w:spacing w:after="0" w:line="240" w:lineRule="auto"/>
      </w:pPr>
      <w:r>
        <w:separator/>
      </w:r>
    </w:p>
  </w:endnote>
  <w:endnote w:type="continuationSeparator" w:id="0">
    <w:p w14:paraId="5D4179BA" w14:textId="77777777" w:rsidR="00497187" w:rsidRDefault="00497187" w:rsidP="009E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897" w14:textId="77777777" w:rsidR="000B1037" w:rsidRDefault="000B1037">
    <w:pPr>
      <w:pStyle w:val="Pidipagina"/>
      <w:jc w:val="center"/>
    </w:pPr>
  </w:p>
  <w:p w14:paraId="468CCB0D" w14:textId="00B177D6" w:rsidR="000B1037" w:rsidRDefault="000B1037">
    <w:pPr>
      <w:pStyle w:val="Pidipagina"/>
      <w:jc w:val="center"/>
    </w:pPr>
    <w:r w:rsidRPr="009E2BF7">
      <w:rPr>
        <w:sz w:val="20"/>
        <w:szCs w:val="20"/>
      </w:rPr>
      <w:t xml:space="preserve">Comune di …….indirizzo……… </w:t>
    </w:r>
    <w:proofErr w:type="spellStart"/>
    <w:r w:rsidRPr="009E2BF7">
      <w:rPr>
        <w:sz w:val="20"/>
        <w:szCs w:val="20"/>
      </w:rPr>
      <w:t>tel</w:t>
    </w:r>
    <w:proofErr w:type="spellEnd"/>
    <w:r w:rsidRPr="009E2BF7">
      <w:rPr>
        <w:sz w:val="20"/>
        <w:szCs w:val="20"/>
      </w:rPr>
      <w:t>…….e-mail…………….referente………………..</w:t>
    </w:r>
  </w:p>
  <w:p w14:paraId="22569587" w14:textId="77777777" w:rsidR="000B1037" w:rsidRDefault="000B1037">
    <w:pPr>
      <w:pStyle w:val="Pidipagina"/>
      <w:jc w:val="center"/>
    </w:pPr>
  </w:p>
  <w:p w14:paraId="33C2EAD6" w14:textId="363A0366" w:rsidR="000B1037" w:rsidRPr="000B1037" w:rsidRDefault="000B1037">
    <w:pPr>
      <w:pStyle w:val="Pidipagina"/>
      <w:jc w:val="center"/>
      <w:rPr>
        <w:sz w:val="20"/>
        <w:szCs w:val="20"/>
      </w:rPr>
    </w:pPr>
    <w:r w:rsidRPr="000B1037">
      <w:rPr>
        <w:sz w:val="20"/>
        <w:szCs w:val="20"/>
      </w:rPr>
      <w:t xml:space="preserve">Pag. </w:t>
    </w:r>
    <w:sdt>
      <w:sdtPr>
        <w:rPr>
          <w:sz w:val="20"/>
          <w:szCs w:val="20"/>
        </w:rPr>
        <w:id w:val="-1673021457"/>
        <w:docPartObj>
          <w:docPartGallery w:val="Page Numbers (Bottom of Page)"/>
          <w:docPartUnique/>
        </w:docPartObj>
      </w:sdtPr>
      <w:sdtEndPr/>
      <w:sdtContent>
        <w:r w:rsidRPr="000B1037">
          <w:rPr>
            <w:sz w:val="20"/>
            <w:szCs w:val="20"/>
          </w:rPr>
          <w:fldChar w:fldCharType="begin"/>
        </w:r>
        <w:r w:rsidRPr="000B1037">
          <w:rPr>
            <w:sz w:val="20"/>
            <w:szCs w:val="20"/>
          </w:rPr>
          <w:instrText>PAGE   \* MERGEFORMAT</w:instrText>
        </w:r>
        <w:r w:rsidRPr="000B1037">
          <w:rPr>
            <w:sz w:val="20"/>
            <w:szCs w:val="20"/>
          </w:rPr>
          <w:fldChar w:fldCharType="separate"/>
        </w:r>
        <w:r w:rsidR="002C0742">
          <w:rPr>
            <w:noProof/>
            <w:sz w:val="20"/>
            <w:szCs w:val="20"/>
          </w:rPr>
          <w:t>1</w:t>
        </w:r>
        <w:r w:rsidRPr="000B1037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sdtContent>
    </w:sdt>
  </w:p>
  <w:p w14:paraId="5F013FC7" w14:textId="11BD8107" w:rsidR="009E2BF7" w:rsidRPr="009E2BF7" w:rsidRDefault="009E2BF7" w:rsidP="009E2BF7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39894" w14:textId="77777777" w:rsidR="00497187" w:rsidRDefault="00497187" w:rsidP="009E2BF7">
      <w:pPr>
        <w:spacing w:after="0" w:line="240" w:lineRule="auto"/>
      </w:pPr>
      <w:r>
        <w:separator/>
      </w:r>
    </w:p>
  </w:footnote>
  <w:footnote w:type="continuationSeparator" w:id="0">
    <w:p w14:paraId="7A37748E" w14:textId="77777777" w:rsidR="00497187" w:rsidRDefault="00497187" w:rsidP="009E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7FDA" w14:textId="77777777" w:rsidR="000B1037" w:rsidRDefault="000B1037" w:rsidP="000B1037">
    <w:pPr>
      <w:pStyle w:val="Intestazione"/>
      <w:jc w:val="center"/>
    </w:pPr>
  </w:p>
  <w:p w14:paraId="0698953B" w14:textId="77777777" w:rsidR="000B1037" w:rsidRDefault="000B1037" w:rsidP="000B1037">
    <w:pPr>
      <w:pStyle w:val="Intestazione"/>
      <w:jc w:val="center"/>
    </w:pPr>
  </w:p>
  <w:p w14:paraId="051AB824" w14:textId="5EA8D350" w:rsidR="000B1037" w:rsidRPr="000B1037" w:rsidRDefault="000B1037" w:rsidP="000B1037">
    <w:pPr>
      <w:pStyle w:val="Intestazione"/>
      <w:jc w:val="center"/>
      <w:rPr>
        <w:sz w:val="28"/>
      </w:rPr>
    </w:pPr>
    <w:r w:rsidRPr="000B1037">
      <w:rPr>
        <w:sz w:val="28"/>
      </w:rPr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223"/>
    <w:multiLevelType w:val="multilevel"/>
    <w:tmpl w:val="620A9B0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954E14"/>
    <w:multiLevelType w:val="hybridMultilevel"/>
    <w:tmpl w:val="D144B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A9"/>
    <w:rsid w:val="00016D58"/>
    <w:rsid w:val="00055D21"/>
    <w:rsid w:val="000B1037"/>
    <w:rsid w:val="000E5143"/>
    <w:rsid w:val="00197B1B"/>
    <w:rsid w:val="00290249"/>
    <w:rsid w:val="002A524A"/>
    <w:rsid w:val="002C0742"/>
    <w:rsid w:val="002C5E98"/>
    <w:rsid w:val="002D4789"/>
    <w:rsid w:val="00317343"/>
    <w:rsid w:val="00354184"/>
    <w:rsid w:val="00385CA6"/>
    <w:rsid w:val="003B28F6"/>
    <w:rsid w:val="00401792"/>
    <w:rsid w:val="00406691"/>
    <w:rsid w:val="00437E4C"/>
    <w:rsid w:val="00497187"/>
    <w:rsid w:val="004D4D32"/>
    <w:rsid w:val="004E5009"/>
    <w:rsid w:val="004E6A57"/>
    <w:rsid w:val="00504D12"/>
    <w:rsid w:val="005743E1"/>
    <w:rsid w:val="005A04C7"/>
    <w:rsid w:val="006D7BEF"/>
    <w:rsid w:val="007628F8"/>
    <w:rsid w:val="007C4855"/>
    <w:rsid w:val="007E5D77"/>
    <w:rsid w:val="007E69E5"/>
    <w:rsid w:val="007F5F69"/>
    <w:rsid w:val="008400F0"/>
    <w:rsid w:val="0084696F"/>
    <w:rsid w:val="008B1B3C"/>
    <w:rsid w:val="008B4C97"/>
    <w:rsid w:val="008F7D90"/>
    <w:rsid w:val="00955F76"/>
    <w:rsid w:val="009E2BF7"/>
    <w:rsid w:val="009F3F47"/>
    <w:rsid w:val="00A03BE4"/>
    <w:rsid w:val="00A67A9B"/>
    <w:rsid w:val="00A753FD"/>
    <w:rsid w:val="00B222F7"/>
    <w:rsid w:val="00B34D84"/>
    <w:rsid w:val="00B36F48"/>
    <w:rsid w:val="00B6005C"/>
    <w:rsid w:val="00BA782C"/>
    <w:rsid w:val="00BD260A"/>
    <w:rsid w:val="00BD7F67"/>
    <w:rsid w:val="00C21F1C"/>
    <w:rsid w:val="00C51BD4"/>
    <w:rsid w:val="00CD7B24"/>
    <w:rsid w:val="00D00B6D"/>
    <w:rsid w:val="00D232C4"/>
    <w:rsid w:val="00D411BC"/>
    <w:rsid w:val="00D93624"/>
    <w:rsid w:val="00DB7300"/>
    <w:rsid w:val="00E4664B"/>
    <w:rsid w:val="00E66EEE"/>
    <w:rsid w:val="00E83707"/>
    <w:rsid w:val="00EE00B9"/>
    <w:rsid w:val="00F167A9"/>
    <w:rsid w:val="00F212E8"/>
    <w:rsid w:val="00F51D3B"/>
    <w:rsid w:val="00F60F1E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F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B0AC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rsid w:val="004D4D32"/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BF7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BF7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B0AC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rsid w:val="004D4D32"/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BF7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BF7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XStefano Cadoni</dc:creator>
  <dc:description/>
  <cp:lastModifiedBy>XStefania Carletti</cp:lastModifiedBy>
  <cp:revision>6</cp:revision>
  <cp:lastPrinted>2021-05-11T07:37:00Z</cp:lastPrinted>
  <dcterms:created xsi:type="dcterms:W3CDTF">2021-04-09T10:55:00Z</dcterms:created>
  <dcterms:modified xsi:type="dcterms:W3CDTF">2021-05-11T07:38:00Z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