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30" w:rsidRDefault="00885DEB" w:rsidP="00513CBD">
      <w:pPr>
        <w:jc w:val="center"/>
        <w:rPr>
          <w:rFonts w:ascii="Cambria" w:hAnsi="Cambria"/>
          <w:b/>
          <w:color w:val="365F91" w:themeColor="accent1" w:themeShade="BF"/>
          <w:sz w:val="56"/>
          <w:szCs w:val="56"/>
        </w:rPr>
      </w:pPr>
      <w:bookmarkStart w:id="0" w:name="_Toc509996316"/>
      <w:bookmarkStart w:id="1" w:name="_Toc510003775"/>
      <w:bookmarkStart w:id="2" w:name="_GoBack"/>
      <w:bookmarkEnd w:id="2"/>
      <w:r w:rsidRPr="0049570C">
        <w:rPr>
          <w:noProof/>
        </w:rPr>
        <w:drawing>
          <wp:inline distT="0" distB="0" distL="0" distR="0" wp14:anchorId="5715BFF4" wp14:editId="7871C5E9">
            <wp:extent cx="1483744" cy="1483744"/>
            <wp:effectExtent l="0" t="0" r="2540" b="2540"/>
            <wp:docPr id="47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3013" cy="1493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730" w:rsidRDefault="00514730" w:rsidP="00513CBD">
      <w:pPr>
        <w:jc w:val="center"/>
        <w:rPr>
          <w:rFonts w:ascii="Cambria" w:hAnsi="Cambria"/>
          <w:b/>
          <w:color w:val="365F91" w:themeColor="accent1" w:themeShade="BF"/>
          <w:sz w:val="56"/>
          <w:szCs w:val="56"/>
        </w:rPr>
      </w:pPr>
    </w:p>
    <w:p w:rsidR="00571A6E" w:rsidRDefault="00571A6E" w:rsidP="00513CBD">
      <w:pPr>
        <w:jc w:val="center"/>
        <w:rPr>
          <w:rFonts w:ascii="Cambria" w:hAnsi="Cambria"/>
          <w:b/>
          <w:color w:val="365F91" w:themeColor="accent1" w:themeShade="BF"/>
          <w:sz w:val="56"/>
          <w:szCs w:val="56"/>
        </w:rPr>
      </w:pPr>
      <w:r w:rsidRPr="00B6722E">
        <w:rPr>
          <w:rFonts w:ascii="Cambria" w:hAnsi="Cambria"/>
          <w:b/>
          <w:color w:val="365F91" w:themeColor="accent1" w:themeShade="BF"/>
          <w:sz w:val="56"/>
          <w:szCs w:val="56"/>
        </w:rPr>
        <w:t>PIANO D’AZIONE DELLE INSTALLAZIONI DELLE INFRASTRUTTURE DI RICARICA</w:t>
      </w:r>
    </w:p>
    <w:p w:rsidR="00AD236C" w:rsidRDefault="00AD236C" w:rsidP="00513CBD">
      <w:pPr>
        <w:jc w:val="center"/>
        <w:rPr>
          <w:rFonts w:ascii="Cambria" w:hAnsi="Cambria"/>
          <w:b/>
          <w:color w:val="365F91" w:themeColor="accent1" w:themeShade="BF"/>
          <w:sz w:val="32"/>
          <w:szCs w:val="32"/>
        </w:rPr>
      </w:pPr>
    </w:p>
    <w:p w:rsidR="00571A6E" w:rsidRPr="00514730" w:rsidRDefault="00AD236C" w:rsidP="00513CBD">
      <w:pPr>
        <w:jc w:val="center"/>
        <w:rPr>
          <w:rFonts w:ascii="Cambria" w:hAnsi="Cambria"/>
          <w:b/>
          <w:color w:val="365F91" w:themeColor="accent1" w:themeShade="BF"/>
          <w:sz w:val="40"/>
          <w:szCs w:val="40"/>
        </w:rPr>
      </w:pPr>
      <w:r w:rsidRPr="00514730">
        <w:rPr>
          <w:rFonts w:ascii="Cambria" w:hAnsi="Cambria"/>
          <w:b/>
          <w:color w:val="365F91" w:themeColor="accent1" w:themeShade="BF"/>
          <w:sz w:val="40"/>
          <w:szCs w:val="40"/>
        </w:rPr>
        <w:t>ALLEGATO 4</w:t>
      </w:r>
    </w:p>
    <w:p w:rsidR="00514730" w:rsidRDefault="00514730" w:rsidP="00513CBD">
      <w:pPr>
        <w:jc w:val="center"/>
        <w:rPr>
          <w:rFonts w:ascii="Cambria" w:hAnsi="Cambria"/>
          <w:b/>
          <w:color w:val="365F91" w:themeColor="accent1" w:themeShade="BF"/>
          <w:sz w:val="32"/>
          <w:szCs w:val="32"/>
        </w:rPr>
      </w:pPr>
    </w:p>
    <w:p w:rsidR="00514730" w:rsidRDefault="00514730" w:rsidP="00513CBD">
      <w:pPr>
        <w:jc w:val="center"/>
        <w:rPr>
          <w:rFonts w:ascii="Cambria" w:hAnsi="Cambria"/>
          <w:b/>
          <w:color w:val="365F91" w:themeColor="accent1" w:themeShade="BF"/>
          <w:sz w:val="32"/>
          <w:szCs w:val="32"/>
        </w:rPr>
      </w:pPr>
    </w:p>
    <w:p w:rsidR="00514730" w:rsidRDefault="00514730" w:rsidP="00513CBD">
      <w:pPr>
        <w:jc w:val="center"/>
        <w:rPr>
          <w:rFonts w:ascii="Cambria" w:hAnsi="Cambria"/>
          <w:b/>
          <w:color w:val="365F91" w:themeColor="accent1" w:themeShade="BF"/>
          <w:sz w:val="32"/>
          <w:szCs w:val="32"/>
        </w:rPr>
      </w:pPr>
    </w:p>
    <w:p w:rsidR="00514730" w:rsidRDefault="00514730" w:rsidP="00513CBD">
      <w:pPr>
        <w:jc w:val="center"/>
        <w:rPr>
          <w:rFonts w:ascii="Cambria" w:hAnsi="Cambria"/>
          <w:b/>
          <w:color w:val="365F91" w:themeColor="accent1" w:themeShade="BF"/>
          <w:sz w:val="32"/>
          <w:szCs w:val="32"/>
        </w:rPr>
      </w:pPr>
    </w:p>
    <w:p w:rsidR="00514730" w:rsidRDefault="00514730" w:rsidP="00513CBD">
      <w:pPr>
        <w:jc w:val="center"/>
        <w:rPr>
          <w:rFonts w:ascii="Cambria" w:hAnsi="Cambria"/>
          <w:b/>
          <w:color w:val="365F91" w:themeColor="accent1" w:themeShade="BF"/>
          <w:sz w:val="32"/>
          <w:szCs w:val="32"/>
        </w:rPr>
      </w:pPr>
    </w:p>
    <w:p w:rsidR="00514730" w:rsidRDefault="00514730" w:rsidP="00513CBD">
      <w:pPr>
        <w:jc w:val="center"/>
        <w:rPr>
          <w:rFonts w:ascii="Cambria" w:hAnsi="Cambria"/>
          <w:b/>
          <w:color w:val="365F91" w:themeColor="accent1" w:themeShade="BF"/>
          <w:sz w:val="32"/>
          <w:szCs w:val="32"/>
        </w:rPr>
      </w:pPr>
    </w:p>
    <w:p w:rsidR="00514730" w:rsidRDefault="00514730" w:rsidP="00513CBD">
      <w:pPr>
        <w:jc w:val="center"/>
        <w:rPr>
          <w:rFonts w:ascii="Cambria" w:hAnsi="Cambria"/>
          <w:b/>
          <w:color w:val="365F91" w:themeColor="accent1" w:themeShade="BF"/>
          <w:sz w:val="32"/>
          <w:szCs w:val="32"/>
        </w:rPr>
      </w:pPr>
    </w:p>
    <w:p w:rsidR="00514730" w:rsidRDefault="00514730" w:rsidP="00513CBD">
      <w:pPr>
        <w:jc w:val="center"/>
        <w:rPr>
          <w:rFonts w:ascii="Cambria" w:hAnsi="Cambria"/>
          <w:b/>
          <w:color w:val="365F91" w:themeColor="accent1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E5A04E" wp14:editId="494379EC">
            <wp:simplePos x="0" y="0"/>
            <wp:positionH relativeFrom="page">
              <wp:posOffset>2350135</wp:posOffset>
            </wp:positionH>
            <wp:positionV relativeFrom="page">
              <wp:posOffset>5455920</wp:posOffset>
            </wp:positionV>
            <wp:extent cx="3376800" cy="3337200"/>
            <wp:effectExtent l="0" t="0" r="0" b="0"/>
            <wp:wrapNone/>
            <wp:docPr id="107" name="Immagin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meras jpeg.jpg"/>
                    <pic:cNvPicPr/>
                  </pic:nvPicPr>
                  <pic:blipFill>
                    <a:blip r:embed="rId7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800" cy="33372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236C" w:rsidRPr="00AD236C" w:rsidRDefault="00AD236C" w:rsidP="00513CBD">
      <w:pPr>
        <w:jc w:val="center"/>
        <w:rPr>
          <w:rFonts w:ascii="Cambria" w:hAnsi="Cambria"/>
          <w:b/>
          <w:color w:val="365F91" w:themeColor="accent1" w:themeShade="BF"/>
          <w:sz w:val="32"/>
          <w:szCs w:val="32"/>
        </w:rPr>
      </w:pPr>
    </w:p>
    <w:p w:rsidR="00514730" w:rsidRDefault="00514730" w:rsidP="00514730">
      <w:pPr>
        <w:jc w:val="center"/>
      </w:pPr>
    </w:p>
    <w:p w:rsidR="00514730" w:rsidRDefault="00514730" w:rsidP="00514730">
      <w:pPr>
        <w:jc w:val="center"/>
      </w:pPr>
    </w:p>
    <w:p w:rsidR="00514730" w:rsidRDefault="00514730" w:rsidP="00514730">
      <w:pPr>
        <w:jc w:val="center"/>
      </w:pPr>
    </w:p>
    <w:p w:rsidR="00514730" w:rsidRDefault="00514730" w:rsidP="00514730">
      <w:pPr>
        <w:jc w:val="center"/>
      </w:pPr>
    </w:p>
    <w:p w:rsidR="00514730" w:rsidRDefault="00514730" w:rsidP="00514730">
      <w:pPr>
        <w:jc w:val="center"/>
      </w:pPr>
    </w:p>
    <w:p w:rsidR="00514730" w:rsidRDefault="00514730" w:rsidP="00514730">
      <w:pPr>
        <w:jc w:val="center"/>
      </w:pPr>
    </w:p>
    <w:p w:rsidR="00514730" w:rsidRDefault="00514730" w:rsidP="00514730">
      <w:pPr>
        <w:jc w:val="center"/>
      </w:pPr>
    </w:p>
    <w:p w:rsidR="00514730" w:rsidRDefault="00514730" w:rsidP="00514730">
      <w:pPr>
        <w:jc w:val="center"/>
      </w:pPr>
    </w:p>
    <w:p w:rsidR="00514730" w:rsidRDefault="00514730" w:rsidP="00514730">
      <w:pPr>
        <w:jc w:val="center"/>
      </w:pPr>
    </w:p>
    <w:p w:rsidR="00514730" w:rsidRDefault="00514730" w:rsidP="00514730">
      <w:pPr>
        <w:jc w:val="center"/>
      </w:pPr>
    </w:p>
    <w:p w:rsidR="00466D8F" w:rsidRDefault="00466D8F" w:rsidP="00514730">
      <w:pPr>
        <w:jc w:val="center"/>
      </w:pPr>
    </w:p>
    <w:p w:rsidR="00514730" w:rsidRDefault="00514730" w:rsidP="00514730">
      <w:pPr>
        <w:jc w:val="center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6"/>
        <w:gridCol w:w="967"/>
        <w:gridCol w:w="1901"/>
        <w:gridCol w:w="1956"/>
        <w:gridCol w:w="1476"/>
        <w:gridCol w:w="1079"/>
        <w:gridCol w:w="1029"/>
      </w:tblGrid>
      <w:tr w:rsidR="00466D8F" w:rsidTr="00740E78">
        <w:tc>
          <w:tcPr>
            <w:tcW w:w="1396" w:type="dxa"/>
            <w:vAlign w:val="center"/>
          </w:tcPr>
          <w:p w:rsidR="00466D8F" w:rsidRDefault="00466D8F" w:rsidP="00740E78">
            <w:pPr>
              <w:ind w:firstLine="0"/>
              <w:jc w:val="center"/>
            </w:pPr>
            <w:r w:rsidRPr="00864A1D">
              <w:rPr>
                <w:noProof/>
              </w:rPr>
              <w:drawing>
                <wp:inline distT="0" distB="0" distL="0" distR="0" wp14:anchorId="42B87211" wp14:editId="38FCD436">
                  <wp:extent cx="776377" cy="494036"/>
                  <wp:effectExtent l="0" t="0" r="5080" b="1270"/>
                  <wp:docPr id="93" name="Immagin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174" cy="514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vAlign w:val="center"/>
          </w:tcPr>
          <w:p w:rsidR="00466D8F" w:rsidRDefault="00466D8F" w:rsidP="00740E78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5665F3E2" wp14:editId="2049FDE5">
                  <wp:extent cx="448574" cy="505596"/>
                  <wp:effectExtent l="0" t="0" r="8890" b="8890"/>
                  <wp:docPr id="94" name="Immagin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611" cy="5112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vAlign w:val="center"/>
          </w:tcPr>
          <w:p w:rsidR="00466D8F" w:rsidRDefault="00466D8F" w:rsidP="00740E78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519DF708" wp14:editId="341ADAA1">
                  <wp:extent cx="1070092" cy="596594"/>
                  <wp:effectExtent l="0" t="0" r="0" b="0"/>
                  <wp:docPr id="87" name="Immagin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region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384" cy="597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vAlign w:val="center"/>
          </w:tcPr>
          <w:p w:rsidR="00466D8F" w:rsidRDefault="00466D8F" w:rsidP="00740E78">
            <w:pPr>
              <w:ind w:firstLine="0"/>
              <w:jc w:val="center"/>
            </w:pPr>
            <w:r w:rsidRPr="00BF01C9">
              <w:rPr>
                <w:noProof/>
              </w:rPr>
              <w:drawing>
                <wp:inline distT="0" distB="0" distL="0" distR="0" wp14:anchorId="05421B79" wp14:editId="5424A149">
                  <wp:extent cx="1097915" cy="369829"/>
                  <wp:effectExtent l="0" t="0" r="6985" b="0"/>
                  <wp:docPr id="95" name="Immagin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877" cy="389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vAlign w:val="center"/>
          </w:tcPr>
          <w:p w:rsidR="00466D8F" w:rsidRDefault="00466D8F" w:rsidP="00740E78">
            <w:pPr>
              <w:ind w:firstLine="0"/>
              <w:jc w:val="center"/>
            </w:pPr>
            <w:r w:rsidRPr="00ED1D67">
              <w:rPr>
                <w:noProof/>
              </w:rPr>
              <w:drawing>
                <wp:inline distT="0" distB="0" distL="0" distR="0" wp14:anchorId="1C4C4D6E" wp14:editId="36433B9F">
                  <wp:extent cx="793010" cy="391549"/>
                  <wp:effectExtent l="0" t="0" r="7620" b="8890"/>
                  <wp:docPr id="34" name="Immagin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144" cy="408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vAlign w:val="center"/>
          </w:tcPr>
          <w:p w:rsidR="00466D8F" w:rsidRDefault="00466D8F" w:rsidP="00740E78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4C530140" wp14:editId="2763E0D3">
                  <wp:extent cx="526212" cy="526212"/>
                  <wp:effectExtent l="0" t="0" r="7620" b="7620"/>
                  <wp:docPr id="97" name="Immagin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62" cy="530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vAlign w:val="center"/>
          </w:tcPr>
          <w:p w:rsidR="00466D8F" w:rsidRDefault="00885DEB" w:rsidP="00740E78">
            <w:pPr>
              <w:ind w:firstLine="0"/>
              <w:jc w:val="center"/>
            </w:pPr>
            <w:r w:rsidRPr="0049570C">
              <w:rPr>
                <w:noProof/>
              </w:rPr>
              <w:drawing>
                <wp:inline distT="0" distB="0" distL="0" distR="0" wp14:anchorId="6CFFD3F6" wp14:editId="2D737A60">
                  <wp:extent cx="500057" cy="500057"/>
                  <wp:effectExtent l="0" t="0" r="0" b="0"/>
                  <wp:docPr id="54" name="Immagin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052" cy="517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57EB" w:rsidRDefault="005C57EB" w:rsidP="00514730">
      <w:pPr>
        <w:spacing w:before="0" w:after="0" w:line="240" w:lineRule="auto"/>
        <w:ind w:firstLine="0"/>
        <w:contextualSpacing w:val="0"/>
        <w:jc w:val="left"/>
        <w:rPr>
          <w:rFonts w:asciiTheme="majorHAnsi" w:eastAsiaTheme="majorEastAsia" w:hAnsiTheme="majorHAnsi" w:cstheme="majorBidi"/>
          <w:color w:val="365F91" w:themeColor="accent1" w:themeShade="BF"/>
          <w:sz w:val="4"/>
          <w:szCs w:val="4"/>
        </w:rPr>
      </w:pPr>
    </w:p>
    <w:p w:rsidR="005C57EB" w:rsidRDefault="005C57EB" w:rsidP="00514730">
      <w:pPr>
        <w:spacing w:before="0" w:after="0" w:line="240" w:lineRule="auto"/>
        <w:ind w:firstLine="0"/>
        <w:contextualSpacing w:val="0"/>
        <w:jc w:val="left"/>
        <w:rPr>
          <w:rFonts w:asciiTheme="majorHAnsi" w:eastAsiaTheme="majorEastAsia" w:hAnsiTheme="majorHAnsi" w:cstheme="majorBidi"/>
          <w:color w:val="365F91" w:themeColor="accent1" w:themeShade="BF"/>
          <w:sz w:val="4"/>
          <w:szCs w:val="4"/>
        </w:rPr>
        <w:sectPr w:rsidR="005C57EB" w:rsidSect="00571A6E">
          <w:pgSz w:w="11906" w:h="16838"/>
          <w:pgMar w:top="1417" w:right="1134" w:bottom="1134" w:left="1134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F455FD" w:rsidRPr="008479CA" w:rsidRDefault="00F455FD" w:rsidP="00514730">
      <w:pPr>
        <w:spacing w:before="0" w:after="0" w:line="240" w:lineRule="auto"/>
        <w:ind w:firstLine="0"/>
        <w:contextualSpacing w:val="0"/>
        <w:jc w:val="left"/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8479CA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lastRenderedPageBreak/>
        <w:t>Proc</w:t>
      </w:r>
      <w:r w:rsidR="008479CA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 xml:space="preserve">edura </w:t>
      </w:r>
      <w:r w:rsidRPr="008479CA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autorizzativ</w:t>
      </w:r>
      <w:r w:rsidR="008479CA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a</w:t>
      </w:r>
      <w:r w:rsidRPr="008479CA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 xml:space="preserve"> per l’installazione delle stazioni di ricarica</w:t>
      </w:r>
      <w:bookmarkEnd w:id="0"/>
      <w:bookmarkEnd w:id="1"/>
    </w:p>
    <w:p w:rsidR="00802E97" w:rsidRDefault="00802E97" w:rsidP="00802E97">
      <w:pPr>
        <w:shd w:val="clear" w:color="auto" w:fill="FFFFFF"/>
        <w:spacing w:before="100" w:beforeAutospacing="1" w:after="100" w:afterAutospacing="1" w:line="360" w:lineRule="auto"/>
        <w:ind w:firstLine="0"/>
        <w:rPr>
          <w:rFonts w:asciiTheme="majorHAnsi" w:eastAsia="Times New Roman" w:hAnsiTheme="majorHAnsi" w:cs="Arial"/>
          <w:szCs w:val="20"/>
        </w:rPr>
      </w:pPr>
    </w:p>
    <w:p w:rsidR="00802E97" w:rsidRDefault="00802E97" w:rsidP="00802E97">
      <w:pPr>
        <w:shd w:val="clear" w:color="auto" w:fill="FFFFFF"/>
        <w:spacing w:before="100" w:beforeAutospacing="1" w:after="100" w:afterAutospacing="1" w:line="360" w:lineRule="auto"/>
        <w:ind w:firstLine="0"/>
        <w:contextualSpacing w:val="0"/>
        <w:rPr>
          <w:rFonts w:asciiTheme="majorHAnsi" w:eastAsia="Times New Roman" w:hAnsiTheme="majorHAnsi" w:cs="Arial"/>
          <w:szCs w:val="20"/>
        </w:rPr>
      </w:pPr>
      <w:r>
        <w:rPr>
          <w:rFonts w:asciiTheme="majorHAnsi" w:eastAsia="Times New Roman" w:hAnsiTheme="majorHAnsi" w:cs="Arial"/>
          <w:szCs w:val="20"/>
        </w:rPr>
        <w:t xml:space="preserve">Con l’approvazione del Piano delle installazioni, il Comune autorizza l’Appaltatore a realizzare le infrastrutture di ricarica, in conformità al presente documento pianificatorio, individuate nelle aree pubbliche di sua proprietà. </w:t>
      </w:r>
    </w:p>
    <w:p w:rsidR="00F455FD" w:rsidRPr="008479CA" w:rsidRDefault="00F455FD" w:rsidP="00F455FD">
      <w:pPr>
        <w:shd w:val="clear" w:color="auto" w:fill="FFFFFF"/>
        <w:spacing w:before="100" w:beforeAutospacing="1" w:after="100" w:afterAutospacing="1" w:line="360" w:lineRule="auto"/>
        <w:ind w:firstLine="0"/>
        <w:contextualSpacing w:val="0"/>
        <w:rPr>
          <w:rFonts w:asciiTheme="majorHAnsi" w:eastAsia="Times New Roman" w:hAnsiTheme="majorHAnsi" w:cs="Arial"/>
          <w:szCs w:val="20"/>
        </w:rPr>
      </w:pPr>
      <w:r w:rsidRPr="008479CA">
        <w:rPr>
          <w:rFonts w:asciiTheme="majorHAnsi" w:eastAsia="Times New Roman" w:hAnsiTheme="majorHAnsi" w:cs="Arial"/>
          <w:szCs w:val="20"/>
        </w:rPr>
        <w:t>La procedura autorizzativa sarà pertanto in capo all’Appaltatore individuato per la realizzazione e gestione delle infrastrutture di ricarica, che dovrà trasmettere allo Sportello Unico per le Attività produttive e per l'edilizia - SUAPE (Legge Regionale 20 ottobre 2016, n. 24 e Direttive di attuazione approvate con Delib.G.R. n. 10/13 del 27/02/2018), una dichiarazione autocertificativa per l'ottenimento di tutti i titoli abilitativi necessari alla realizzazione delle infrastrutture di ricarica oggetto della gara d’appalto.</w:t>
      </w:r>
    </w:p>
    <w:p w:rsidR="00F455FD" w:rsidRPr="008479CA" w:rsidRDefault="00F455FD" w:rsidP="00F455FD">
      <w:pPr>
        <w:shd w:val="clear" w:color="auto" w:fill="FFFFFF"/>
        <w:spacing w:before="100" w:beforeAutospacing="1" w:after="100" w:afterAutospacing="1" w:line="360" w:lineRule="auto"/>
        <w:ind w:firstLine="0"/>
        <w:contextualSpacing w:val="0"/>
        <w:rPr>
          <w:rFonts w:asciiTheme="majorHAnsi" w:eastAsia="Times New Roman" w:hAnsiTheme="majorHAnsi" w:cs="Arial"/>
          <w:szCs w:val="20"/>
        </w:rPr>
      </w:pPr>
      <w:r w:rsidRPr="008479CA">
        <w:rPr>
          <w:rFonts w:asciiTheme="majorHAnsi" w:eastAsia="Times New Roman" w:hAnsiTheme="majorHAnsi" w:cs="Arial"/>
          <w:szCs w:val="20"/>
        </w:rPr>
        <w:t>Oltre agli atti d'assenso necessari per eventuali vincoli gravanti sull'area, a norma dell’art. 23, comma 2-bis del D.L. 9.02.2012 n. 5, convertito in legge 4.04.2012, n. 35, la realizzazione di reti infrastrutturali di ricarica dei veicoli elettrici alimentati ad energia elettrica è assoggettata a segnalazione certificata di inizio attività di cui all’art. 19 della Legge 7.08.1990, n. 241.</w:t>
      </w:r>
    </w:p>
    <w:p w:rsidR="00F455FD" w:rsidRPr="008479CA" w:rsidRDefault="00F455FD" w:rsidP="00F455FD">
      <w:pPr>
        <w:shd w:val="clear" w:color="auto" w:fill="FFFFFF"/>
        <w:spacing w:before="100" w:beforeAutospacing="1" w:after="100" w:afterAutospacing="1" w:line="360" w:lineRule="auto"/>
        <w:ind w:firstLine="0"/>
        <w:contextualSpacing w:val="0"/>
        <w:rPr>
          <w:rFonts w:asciiTheme="majorHAnsi" w:eastAsia="Times New Roman" w:hAnsiTheme="majorHAnsi" w:cs="Arial"/>
          <w:szCs w:val="20"/>
        </w:rPr>
      </w:pPr>
      <w:r w:rsidRPr="008479CA">
        <w:rPr>
          <w:rFonts w:asciiTheme="majorHAnsi" w:eastAsia="Times New Roman" w:hAnsiTheme="majorHAnsi" w:cs="Arial"/>
          <w:szCs w:val="20"/>
        </w:rPr>
        <w:t>Le dichiarazioni, attestazioni, asseverazioni, nonché gli elaborati tecnici da presentare a corredo della SCIA sono indicate nel Decreto del Ministero delle Infrastrutture e dei Trasporti del 3 agosto 2017. A seconda dei presupposti, dovrà essere avviata una delle seguenti tipologie di procedimento unico:</w:t>
      </w:r>
    </w:p>
    <w:p w:rsidR="00F455FD" w:rsidRPr="008479CA" w:rsidRDefault="00F455FD" w:rsidP="00F455FD">
      <w:pPr>
        <w:shd w:val="clear" w:color="auto" w:fill="FFFFFF"/>
        <w:spacing w:before="100" w:beforeAutospacing="1" w:after="100" w:afterAutospacing="1" w:line="360" w:lineRule="auto"/>
        <w:ind w:firstLine="0"/>
        <w:contextualSpacing w:val="0"/>
        <w:rPr>
          <w:rFonts w:asciiTheme="majorHAnsi" w:eastAsia="Times New Roman" w:hAnsiTheme="majorHAnsi" w:cs="Times New Roman"/>
          <w:b/>
          <w:bCs/>
          <w:szCs w:val="20"/>
        </w:rPr>
      </w:pPr>
      <w:r w:rsidRPr="008479CA">
        <w:rPr>
          <w:rFonts w:asciiTheme="majorHAnsi" w:eastAsia="Times New Roman" w:hAnsiTheme="majorHAnsi" w:cs="Times New Roman"/>
          <w:b/>
          <w:bCs/>
          <w:szCs w:val="20"/>
        </w:rPr>
        <w:t>Procedimento in autocertificazione a 0 giorni</w:t>
      </w:r>
    </w:p>
    <w:p w:rsidR="00F455FD" w:rsidRPr="008479CA" w:rsidRDefault="00F455FD" w:rsidP="00F455FD">
      <w:pPr>
        <w:shd w:val="clear" w:color="auto" w:fill="FFFFFF"/>
        <w:spacing w:before="100" w:beforeAutospacing="1" w:after="100" w:afterAutospacing="1" w:line="360" w:lineRule="auto"/>
        <w:ind w:firstLine="0"/>
        <w:contextualSpacing w:val="0"/>
        <w:rPr>
          <w:rFonts w:asciiTheme="majorHAnsi" w:eastAsia="Times New Roman" w:hAnsiTheme="majorHAnsi" w:cs="Arial"/>
          <w:szCs w:val="20"/>
        </w:rPr>
      </w:pPr>
      <w:r w:rsidRPr="008479CA">
        <w:rPr>
          <w:rFonts w:asciiTheme="majorHAnsi" w:eastAsia="Times New Roman" w:hAnsiTheme="majorHAnsi" w:cs="Arial"/>
          <w:szCs w:val="20"/>
        </w:rPr>
        <w:t>Fatto salvo quanto previsto dall'articolo 37 della L.R. n. 24/2016, la ricevuta automatica di cui all'articolo 31, comma 7, unitamente alla dichiarazione autocertificativa ed ai suoi allegati, costituisce titolo abilitativo unico per l'effettuazione dell'intervento che può essere iniziato immediatamente.</w:t>
      </w:r>
    </w:p>
    <w:p w:rsidR="00F455FD" w:rsidRPr="008479CA" w:rsidRDefault="00F455FD" w:rsidP="00F455FD">
      <w:pPr>
        <w:shd w:val="clear" w:color="auto" w:fill="FFFFFF"/>
        <w:spacing w:before="100" w:beforeAutospacing="1" w:after="100" w:afterAutospacing="1" w:line="360" w:lineRule="auto"/>
        <w:ind w:firstLine="0"/>
        <w:contextualSpacing w:val="0"/>
        <w:rPr>
          <w:rFonts w:asciiTheme="majorHAnsi" w:eastAsia="Times New Roman" w:hAnsiTheme="majorHAnsi" w:cs="Times New Roman"/>
          <w:b/>
          <w:bCs/>
          <w:szCs w:val="20"/>
        </w:rPr>
      </w:pPr>
      <w:r w:rsidRPr="008479CA">
        <w:rPr>
          <w:rFonts w:asciiTheme="majorHAnsi" w:eastAsia="Times New Roman" w:hAnsiTheme="majorHAnsi" w:cs="Times New Roman"/>
          <w:b/>
          <w:bCs/>
          <w:szCs w:val="20"/>
        </w:rPr>
        <w:t>Procedimento in conferenza di servizi</w:t>
      </w:r>
    </w:p>
    <w:p w:rsidR="002613F5" w:rsidRDefault="00F455FD" w:rsidP="00457B02">
      <w:pPr>
        <w:shd w:val="clear" w:color="auto" w:fill="FFFFFF"/>
        <w:spacing w:before="100" w:beforeAutospacing="1" w:after="100" w:afterAutospacing="1" w:line="360" w:lineRule="auto"/>
        <w:ind w:firstLine="0"/>
        <w:contextualSpacing w:val="0"/>
      </w:pPr>
      <w:r w:rsidRPr="008479CA">
        <w:rPr>
          <w:rFonts w:asciiTheme="majorHAnsi" w:eastAsia="Times New Roman" w:hAnsiTheme="majorHAnsi" w:cs="Arial"/>
          <w:szCs w:val="20"/>
        </w:rPr>
        <w:t>Il procedimento in autocertificazione di cui all'articolo 34 della L.R. 24/2016 è escluso quando la verifica di conformità della dichiarazione autocertificativa comporta valutazioni discrezionali da parte della pubblica amministrazione, in particolare per i profili attinenti alla difesa nazionale e alla pubblica sicurezza, ai vincoli paesistici, storico-artistici, archeologici e idrogeologici, alla tutela ambientale, alla tutela della salute e della pubblica incolumità. In tal caso, l'intervento può essere realizzato solo a seguito di emissione di provvedimento unico da parte del SUAPE, all'esito dei lavori della conferenza di servizi. Il termine di conclusione del procedimento è stabilito ordinariamente in 60 giorni, ma può variare per alcune tipologie di vincolo (v. art. 18.1 dell’allegato A alla Delib .G.R. n. 10/13 del 27.2.2018).</w:t>
      </w:r>
    </w:p>
    <w:sectPr w:rsidR="002613F5" w:rsidSect="005C57EB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7276E"/>
    <w:multiLevelType w:val="multilevel"/>
    <w:tmpl w:val="ACF25E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FD"/>
    <w:rsid w:val="001377B6"/>
    <w:rsid w:val="002613F5"/>
    <w:rsid w:val="00457B02"/>
    <w:rsid w:val="00466D8F"/>
    <w:rsid w:val="00513CBD"/>
    <w:rsid w:val="00514730"/>
    <w:rsid w:val="00571A6E"/>
    <w:rsid w:val="005C57EB"/>
    <w:rsid w:val="00802E97"/>
    <w:rsid w:val="008479CA"/>
    <w:rsid w:val="00885DEB"/>
    <w:rsid w:val="00AD236C"/>
    <w:rsid w:val="00C747A2"/>
    <w:rsid w:val="00CA6E9F"/>
    <w:rsid w:val="00F4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5FD"/>
    <w:pPr>
      <w:spacing w:before="60" w:after="60" w:line="264" w:lineRule="auto"/>
      <w:ind w:firstLine="357"/>
      <w:contextualSpacing/>
      <w:jc w:val="both"/>
    </w:pPr>
    <w:rPr>
      <w:rFonts w:eastAsiaTheme="minorEastAsia"/>
      <w:sz w:val="20"/>
      <w:szCs w:val="2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473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4730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466D8F"/>
    <w:pPr>
      <w:ind w:firstLine="142"/>
      <w:jc w:val="both"/>
    </w:pPr>
    <w:rPr>
      <w:rFonts w:ascii="Cambria" w:eastAsia="Cambria" w:hAnsi="Cambria" w:cs="Cambria"/>
      <w:color w:val="000000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5FD"/>
    <w:pPr>
      <w:spacing w:before="60" w:after="60" w:line="264" w:lineRule="auto"/>
      <w:ind w:firstLine="357"/>
      <w:contextualSpacing/>
      <w:jc w:val="both"/>
    </w:pPr>
    <w:rPr>
      <w:rFonts w:eastAsiaTheme="minorEastAsia"/>
      <w:sz w:val="20"/>
      <w:szCs w:val="2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473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4730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466D8F"/>
    <w:pPr>
      <w:ind w:firstLine="142"/>
      <w:jc w:val="both"/>
    </w:pPr>
    <w:rPr>
      <w:rFonts w:ascii="Cambria" w:eastAsia="Cambria" w:hAnsi="Cambria" w:cs="Cambria"/>
      <w:color w:val="000000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Mattiello</dc:creator>
  <cp:lastModifiedBy>XGiuseppe Pinna</cp:lastModifiedBy>
  <cp:revision>2</cp:revision>
  <dcterms:created xsi:type="dcterms:W3CDTF">2018-04-28T08:10:00Z</dcterms:created>
  <dcterms:modified xsi:type="dcterms:W3CDTF">2018-04-28T08:10:00Z</dcterms:modified>
</cp:coreProperties>
</file>